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14F5C5" w14:textId="77777777" w:rsidR="0068488E" w:rsidRPr="00FA6CCF" w:rsidRDefault="00F34E21" w:rsidP="00F34E21">
      <w:pPr>
        <w:tabs>
          <w:tab w:val="left" w:pos="9865"/>
        </w:tabs>
        <w:rPr>
          <w:rFonts w:ascii="Trebuchet MS" w:hAnsi="Trebuchet MS" w:cstheme="minorHAnsi"/>
          <w:szCs w:val="24"/>
        </w:rPr>
      </w:pPr>
      <w:r w:rsidRPr="00FA6CCF">
        <w:rPr>
          <w:rFonts w:ascii="Trebuchet MS" w:hAnsi="Trebuchet MS" w:cstheme="minorHAnsi"/>
          <w:szCs w:val="24"/>
        </w:rPr>
        <w:tab/>
      </w:r>
    </w:p>
    <w:tbl>
      <w:tblPr>
        <w:tblStyle w:val="TableauGrille1Clair"/>
        <w:tblW w:w="0" w:type="auto"/>
        <w:tblLook w:val="04A0" w:firstRow="1" w:lastRow="0" w:firstColumn="1" w:lastColumn="0" w:noHBand="0" w:noVBand="1"/>
      </w:tblPr>
      <w:tblGrid>
        <w:gridCol w:w="6858"/>
        <w:gridCol w:w="6858"/>
      </w:tblGrid>
      <w:tr w:rsidR="008573AC" w:rsidRPr="00FA6CCF" w14:paraId="32785AEA" w14:textId="77777777" w:rsidTr="00FA6C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58" w:type="dxa"/>
          </w:tcPr>
          <w:p w14:paraId="6D0E6AC8" w14:textId="19D825EC" w:rsidR="00D4319A" w:rsidRPr="00FA6CCF" w:rsidRDefault="002956E6" w:rsidP="00FA6CCF">
            <w:pPr>
              <w:spacing w:before="240" w:after="240"/>
              <w:rPr>
                <w:rFonts w:ascii="Trebuchet MS" w:hAnsi="Trebuchet MS" w:cstheme="minorHAnsi"/>
                <w:b w:val="0"/>
                <w:bCs w:val="0"/>
                <w:color w:val="000000"/>
                <w:szCs w:val="24"/>
                <w:lang w:eastAsia="fr-FR"/>
              </w:rPr>
            </w:pPr>
            <w:r w:rsidRPr="00FA6CCF">
              <w:rPr>
                <w:rFonts w:ascii="Trebuchet MS" w:hAnsi="Trebuchet MS" w:cstheme="minorHAnsi"/>
                <w:color w:val="000000"/>
                <w:szCs w:val="24"/>
                <w:lang w:eastAsia="fr-FR"/>
              </w:rPr>
              <w:t>N° d’accréditation :</w:t>
            </w:r>
            <w:r w:rsidR="00FA6CCF">
              <w:rPr>
                <w:rFonts w:ascii="Trebuchet MS" w:hAnsi="Trebuchet MS" w:cstheme="minorHAnsi"/>
                <w:color w:val="000000"/>
                <w:szCs w:val="24"/>
                <w:lang w:eastAsia="fr-FR"/>
              </w:rPr>
              <w:t xml:space="preserve"> </w:t>
            </w:r>
          </w:p>
        </w:tc>
        <w:tc>
          <w:tcPr>
            <w:tcW w:w="6858" w:type="dxa"/>
          </w:tcPr>
          <w:p w14:paraId="2B954DD8" w14:textId="77777777" w:rsidR="008573AC" w:rsidRDefault="00CB3CB1" w:rsidP="00FA6CCF">
            <w:pPr>
              <w:spacing w:before="240" w:after="240"/>
              <w:cnfStyle w:val="100000000000" w:firstRow="1" w:lastRow="0" w:firstColumn="0" w:lastColumn="0" w:oddVBand="0" w:evenVBand="0" w:oddHBand="0" w:evenHBand="0" w:firstRowFirstColumn="0" w:firstRowLastColumn="0" w:lastRowFirstColumn="0" w:lastRowLastColumn="0"/>
              <w:rPr>
                <w:rFonts w:ascii="Trebuchet MS" w:hAnsi="Trebuchet MS" w:cstheme="minorHAnsi"/>
                <w:b w:val="0"/>
                <w:bCs w:val="0"/>
                <w:color w:val="000000"/>
                <w:szCs w:val="24"/>
                <w:lang w:eastAsia="fr-FR"/>
              </w:rPr>
            </w:pPr>
            <w:r w:rsidRPr="00FA6CCF">
              <w:rPr>
                <w:rFonts w:ascii="Trebuchet MS" w:hAnsi="Trebuchet MS" w:cstheme="minorHAnsi"/>
                <w:color w:val="000000"/>
                <w:szCs w:val="24"/>
                <w:lang w:eastAsia="fr-FR"/>
              </w:rPr>
              <w:t>Dénomination juridique de l’organisme de certification</w:t>
            </w:r>
            <w:r w:rsidR="008573AC" w:rsidRPr="00FA6CCF">
              <w:rPr>
                <w:rFonts w:ascii="Trebuchet MS" w:hAnsi="Trebuchet MS" w:cstheme="minorHAnsi"/>
                <w:color w:val="000000"/>
                <w:szCs w:val="24"/>
                <w:lang w:eastAsia="fr-FR"/>
              </w:rPr>
              <w:t> :</w:t>
            </w:r>
          </w:p>
          <w:p w14:paraId="5D2368CD" w14:textId="29181FD3" w:rsidR="00FA6CCF" w:rsidRPr="00FA6CCF" w:rsidRDefault="00FA6CCF" w:rsidP="00FA6CCF">
            <w:pPr>
              <w:spacing w:before="240" w:after="240"/>
              <w:cnfStyle w:val="100000000000" w:firstRow="1" w:lastRow="0" w:firstColumn="0" w:lastColumn="0" w:oddVBand="0" w:evenVBand="0" w:oddHBand="0" w:evenHBand="0" w:firstRowFirstColumn="0" w:firstRowLastColumn="0" w:lastRowFirstColumn="0" w:lastRowLastColumn="0"/>
              <w:rPr>
                <w:rFonts w:ascii="Trebuchet MS" w:hAnsi="Trebuchet MS" w:cstheme="minorHAnsi"/>
                <w:b w:val="0"/>
                <w:bCs w:val="0"/>
                <w:color w:val="000000"/>
                <w:szCs w:val="24"/>
                <w:lang w:eastAsia="fr-FR"/>
              </w:rPr>
            </w:pPr>
          </w:p>
        </w:tc>
      </w:tr>
      <w:tr w:rsidR="008573AC" w:rsidRPr="00FA6CCF" w14:paraId="67F2F4F6" w14:textId="77777777" w:rsidTr="00FA6CCF">
        <w:tc>
          <w:tcPr>
            <w:cnfStyle w:val="001000000000" w:firstRow="0" w:lastRow="0" w:firstColumn="1" w:lastColumn="0" w:oddVBand="0" w:evenVBand="0" w:oddHBand="0" w:evenHBand="0" w:firstRowFirstColumn="0" w:firstRowLastColumn="0" w:lastRowFirstColumn="0" w:lastRowLastColumn="0"/>
            <w:tcW w:w="6858" w:type="dxa"/>
          </w:tcPr>
          <w:p w14:paraId="34E3D4D0" w14:textId="7D80B01C" w:rsidR="00D4319A" w:rsidRPr="00FA6CCF" w:rsidRDefault="008573AC" w:rsidP="00FA6CCF">
            <w:pPr>
              <w:spacing w:before="240" w:after="240"/>
              <w:rPr>
                <w:rFonts w:ascii="Trebuchet MS" w:hAnsi="Trebuchet MS" w:cstheme="minorHAnsi"/>
                <w:b w:val="0"/>
                <w:bCs w:val="0"/>
                <w:color w:val="000000"/>
                <w:szCs w:val="24"/>
                <w:lang w:eastAsia="fr-FR"/>
              </w:rPr>
            </w:pPr>
            <w:r w:rsidRPr="00FA6CCF">
              <w:rPr>
                <w:rFonts w:ascii="Trebuchet MS" w:hAnsi="Trebuchet MS" w:cstheme="minorHAnsi"/>
                <w:color w:val="000000"/>
                <w:szCs w:val="24"/>
                <w:lang w:eastAsia="fr-FR"/>
              </w:rPr>
              <w:t>Date :</w:t>
            </w:r>
          </w:p>
        </w:tc>
        <w:tc>
          <w:tcPr>
            <w:tcW w:w="6858" w:type="dxa"/>
          </w:tcPr>
          <w:p w14:paraId="236800C9" w14:textId="77777777" w:rsidR="008573AC" w:rsidRPr="00FA6CCF" w:rsidRDefault="00CD5BE5" w:rsidP="00FA6CCF">
            <w:pPr>
              <w:spacing w:before="240" w:after="240"/>
              <w:cnfStyle w:val="000000000000" w:firstRow="0" w:lastRow="0" w:firstColumn="0" w:lastColumn="0" w:oddVBand="0" w:evenVBand="0" w:oddHBand="0" w:evenHBand="0" w:firstRowFirstColumn="0" w:firstRowLastColumn="0" w:lastRowFirstColumn="0" w:lastRowLastColumn="0"/>
              <w:rPr>
                <w:rFonts w:ascii="Trebuchet MS" w:hAnsi="Trebuchet MS" w:cstheme="minorHAnsi"/>
                <w:b/>
                <w:bCs/>
                <w:color w:val="000000"/>
                <w:szCs w:val="24"/>
                <w:lang w:eastAsia="fr-FR"/>
              </w:rPr>
            </w:pPr>
            <w:r w:rsidRPr="00FA6CCF">
              <w:rPr>
                <w:rFonts w:ascii="Trebuchet MS" w:hAnsi="Trebuchet MS" w:cstheme="minorHAnsi"/>
                <w:b/>
                <w:bCs/>
                <w:color w:val="000000"/>
                <w:szCs w:val="24"/>
                <w:lang w:eastAsia="fr-FR"/>
              </w:rPr>
              <w:t>Renseigné par :</w:t>
            </w:r>
          </w:p>
        </w:tc>
      </w:tr>
    </w:tbl>
    <w:p w14:paraId="722BAD6D" w14:textId="77777777" w:rsidR="000D35C7" w:rsidRPr="00FA6CCF" w:rsidRDefault="000D35C7" w:rsidP="00F34E21">
      <w:pPr>
        <w:rPr>
          <w:rFonts w:ascii="Trebuchet MS" w:hAnsi="Trebuchet MS" w:cstheme="minorHAnsi"/>
          <w:szCs w:val="24"/>
        </w:rPr>
      </w:pPr>
    </w:p>
    <w:p w14:paraId="10A91EFE" w14:textId="77777777" w:rsidR="00D4319A" w:rsidRPr="00FA6CCF" w:rsidRDefault="000D35C7" w:rsidP="00FA6CCF">
      <w:pPr>
        <w:spacing w:line="360" w:lineRule="auto"/>
        <w:rPr>
          <w:rFonts w:ascii="Trebuchet MS" w:hAnsi="Trebuchet MS" w:cstheme="minorHAnsi"/>
          <w:b/>
          <w:bCs/>
          <w:color w:val="000000"/>
          <w:szCs w:val="24"/>
          <w:lang w:eastAsia="fr-FR"/>
        </w:rPr>
      </w:pPr>
      <w:r w:rsidRPr="00FA6CCF">
        <w:rPr>
          <w:rFonts w:ascii="Trebuchet MS" w:hAnsi="Trebuchet MS" w:cstheme="minorHAnsi"/>
          <w:b/>
          <w:bCs/>
          <w:color w:val="000000"/>
          <w:szCs w:val="24"/>
          <w:lang w:eastAsia="fr-FR"/>
        </w:rPr>
        <w:t>La liste est construite comme suit :</w:t>
      </w:r>
    </w:p>
    <w:p w14:paraId="4316BB6F" w14:textId="30D293FC" w:rsidR="005D69A0" w:rsidRPr="00FA6CCF" w:rsidRDefault="000B4630" w:rsidP="00FA6CCF">
      <w:pPr>
        <w:pStyle w:val="Paragraphedeliste"/>
        <w:numPr>
          <w:ilvl w:val="0"/>
          <w:numId w:val="2"/>
        </w:numPr>
        <w:spacing w:line="360" w:lineRule="auto"/>
        <w:rPr>
          <w:rFonts w:ascii="Trebuchet MS" w:hAnsi="Trebuchet MS" w:cstheme="minorHAnsi"/>
          <w:b/>
          <w:bCs/>
          <w:color w:val="000000"/>
          <w:szCs w:val="24"/>
          <w:lang w:eastAsia="fr-FR"/>
        </w:rPr>
      </w:pPr>
      <w:r w:rsidRPr="00FA6CCF">
        <w:rPr>
          <w:rFonts w:ascii="Trebuchet MS" w:hAnsi="Trebuchet MS" w:cstheme="minorHAnsi"/>
          <w:b/>
          <w:bCs/>
          <w:color w:val="000000"/>
          <w:szCs w:val="24"/>
          <w:lang w:eastAsia="fr-FR"/>
        </w:rPr>
        <w:t>La première colonne</w:t>
      </w:r>
      <w:r w:rsidR="00230DED" w:rsidRPr="00FA6CCF">
        <w:rPr>
          <w:rFonts w:ascii="Trebuchet MS" w:hAnsi="Trebuchet MS" w:cstheme="minorHAnsi"/>
          <w:b/>
          <w:bCs/>
          <w:color w:val="000000"/>
          <w:szCs w:val="24"/>
          <w:lang w:eastAsia="fr-FR"/>
        </w:rPr>
        <w:t xml:space="preserve"> fait référence aux clauses de la norme ISO</w:t>
      </w:r>
      <w:r w:rsidRPr="00FA6CCF">
        <w:rPr>
          <w:rFonts w:ascii="Trebuchet MS" w:hAnsi="Trebuchet MS" w:cstheme="minorHAnsi"/>
          <w:b/>
          <w:bCs/>
          <w:color w:val="000000"/>
          <w:szCs w:val="24"/>
          <w:lang w:eastAsia="fr-FR"/>
        </w:rPr>
        <w:t>/IEC 17021-1 : 2015 ;</w:t>
      </w:r>
    </w:p>
    <w:p w14:paraId="5A215DE6" w14:textId="4A5C0AD0" w:rsidR="000D35C7" w:rsidRPr="00FA6CCF" w:rsidRDefault="000B4630" w:rsidP="00FA6CCF">
      <w:pPr>
        <w:pStyle w:val="Paragraphedeliste"/>
        <w:numPr>
          <w:ilvl w:val="0"/>
          <w:numId w:val="2"/>
        </w:numPr>
        <w:spacing w:line="360" w:lineRule="auto"/>
        <w:rPr>
          <w:rFonts w:ascii="Trebuchet MS" w:hAnsi="Trebuchet MS" w:cstheme="minorHAnsi"/>
          <w:b/>
          <w:bCs/>
          <w:color w:val="000000"/>
          <w:szCs w:val="24"/>
          <w:lang w:eastAsia="fr-FR"/>
        </w:rPr>
      </w:pPr>
      <w:r w:rsidRPr="00FA6CCF">
        <w:rPr>
          <w:rFonts w:ascii="Trebuchet MS" w:hAnsi="Trebuchet MS" w:cstheme="minorHAnsi"/>
          <w:b/>
          <w:bCs/>
          <w:color w:val="000000"/>
          <w:szCs w:val="24"/>
          <w:lang w:eastAsia="fr-FR"/>
        </w:rPr>
        <w:t>La</w:t>
      </w:r>
      <w:r w:rsidR="000D35C7" w:rsidRPr="00FA6CCF">
        <w:rPr>
          <w:rFonts w:ascii="Trebuchet MS" w:hAnsi="Trebuchet MS" w:cstheme="minorHAnsi"/>
          <w:b/>
          <w:bCs/>
          <w:color w:val="000000"/>
          <w:szCs w:val="24"/>
          <w:lang w:eastAsia="fr-FR"/>
        </w:rPr>
        <w:t xml:space="preserve"> </w:t>
      </w:r>
      <w:r w:rsidRPr="00FA6CCF">
        <w:rPr>
          <w:rFonts w:ascii="Trebuchet MS" w:hAnsi="Trebuchet MS" w:cstheme="minorHAnsi"/>
          <w:b/>
          <w:bCs/>
          <w:color w:val="000000"/>
          <w:szCs w:val="24"/>
          <w:lang w:eastAsia="fr-FR"/>
        </w:rPr>
        <w:t>deuxième colonne</w:t>
      </w:r>
      <w:r w:rsidR="00CD5BE5" w:rsidRPr="00FA6CCF">
        <w:rPr>
          <w:rFonts w:ascii="Trebuchet MS" w:hAnsi="Trebuchet MS" w:cstheme="minorHAnsi"/>
          <w:b/>
          <w:bCs/>
          <w:color w:val="000000"/>
          <w:szCs w:val="24"/>
          <w:lang w:eastAsia="fr-FR"/>
        </w:rPr>
        <w:t xml:space="preserve"> décrit les exigences de </w:t>
      </w:r>
      <w:r w:rsidR="000D35C7" w:rsidRPr="00FA6CCF">
        <w:rPr>
          <w:rFonts w:ascii="Trebuchet MS" w:hAnsi="Trebuchet MS" w:cstheme="minorHAnsi"/>
          <w:b/>
          <w:bCs/>
          <w:color w:val="000000"/>
          <w:szCs w:val="24"/>
          <w:lang w:eastAsia="fr-FR"/>
        </w:rPr>
        <w:t xml:space="preserve">la </w:t>
      </w:r>
      <w:r w:rsidRPr="00FA6CCF">
        <w:rPr>
          <w:rFonts w:ascii="Trebuchet MS" w:hAnsi="Trebuchet MS" w:cstheme="minorHAnsi"/>
          <w:b/>
          <w:bCs/>
          <w:color w:val="000000"/>
          <w:szCs w:val="24"/>
          <w:lang w:eastAsia="fr-FR"/>
        </w:rPr>
        <w:t>norme ISO/IEC 17021-1 :2015 ;</w:t>
      </w:r>
    </w:p>
    <w:p w14:paraId="76AAD3B7" w14:textId="4C49794E" w:rsidR="00CB3CB1" w:rsidRPr="00FA6CCF" w:rsidRDefault="00CB3CB1" w:rsidP="00FA6CCF">
      <w:pPr>
        <w:pStyle w:val="Paragraphedeliste"/>
        <w:numPr>
          <w:ilvl w:val="0"/>
          <w:numId w:val="2"/>
        </w:numPr>
        <w:spacing w:line="360" w:lineRule="auto"/>
        <w:rPr>
          <w:rFonts w:ascii="Trebuchet MS" w:hAnsi="Trebuchet MS" w:cstheme="minorHAnsi"/>
          <w:b/>
          <w:bCs/>
          <w:color w:val="000000"/>
          <w:szCs w:val="24"/>
          <w:lang w:eastAsia="fr-FR"/>
        </w:rPr>
      </w:pPr>
      <w:r w:rsidRPr="00FA6CCF">
        <w:rPr>
          <w:rFonts w:ascii="Trebuchet MS" w:hAnsi="Trebuchet MS" w:cstheme="minorHAnsi"/>
          <w:b/>
          <w:bCs/>
          <w:color w:val="000000"/>
          <w:szCs w:val="24"/>
          <w:lang w:eastAsia="fr-FR"/>
        </w:rPr>
        <w:t>La troisième colonne fait référence aux clauses de la norme ISO 22003-1 :2022 ;</w:t>
      </w:r>
    </w:p>
    <w:p w14:paraId="21D4AAD8" w14:textId="54CF38B3" w:rsidR="00CB3CB1" w:rsidRPr="00FA6CCF" w:rsidRDefault="00CB3CB1" w:rsidP="00FA6CCF">
      <w:pPr>
        <w:pStyle w:val="Paragraphedeliste"/>
        <w:numPr>
          <w:ilvl w:val="0"/>
          <w:numId w:val="2"/>
        </w:numPr>
        <w:spacing w:line="360" w:lineRule="auto"/>
        <w:rPr>
          <w:rFonts w:ascii="Trebuchet MS" w:hAnsi="Trebuchet MS" w:cstheme="minorHAnsi"/>
          <w:b/>
          <w:bCs/>
          <w:color w:val="000000"/>
          <w:szCs w:val="24"/>
          <w:lang w:eastAsia="fr-FR"/>
        </w:rPr>
      </w:pPr>
      <w:r w:rsidRPr="00FA6CCF">
        <w:rPr>
          <w:rFonts w:ascii="Trebuchet MS" w:hAnsi="Trebuchet MS" w:cstheme="minorHAnsi"/>
          <w:b/>
          <w:bCs/>
          <w:color w:val="000000"/>
          <w:szCs w:val="24"/>
          <w:lang w:eastAsia="fr-FR"/>
        </w:rPr>
        <w:t>La quatrième colonne décrit les exigences de la norme ISO 22003-</w:t>
      </w:r>
      <w:r w:rsidR="00F341A8" w:rsidRPr="00FA6CCF">
        <w:rPr>
          <w:rFonts w:ascii="Trebuchet MS" w:hAnsi="Trebuchet MS" w:cstheme="minorHAnsi"/>
          <w:b/>
          <w:bCs/>
          <w:color w:val="000000"/>
          <w:szCs w:val="24"/>
          <w:lang w:eastAsia="fr-FR"/>
        </w:rPr>
        <w:t>1 ;</w:t>
      </w:r>
    </w:p>
    <w:p w14:paraId="4D1C32D2" w14:textId="720A51C7" w:rsidR="000D35C7" w:rsidRPr="00FA6CCF" w:rsidRDefault="00A37277" w:rsidP="00FA6CCF">
      <w:pPr>
        <w:pStyle w:val="Paragraphedeliste"/>
        <w:numPr>
          <w:ilvl w:val="0"/>
          <w:numId w:val="2"/>
        </w:numPr>
        <w:spacing w:line="360" w:lineRule="auto"/>
        <w:rPr>
          <w:rFonts w:ascii="Trebuchet MS" w:hAnsi="Trebuchet MS" w:cstheme="minorHAnsi"/>
          <w:b/>
          <w:bCs/>
          <w:color w:val="000000"/>
          <w:szCs w:val="24"/>
          <w:lang w:eastAsia="fr-FR"/>
        </w:rPr>
      </w:pPr>
      <w:r w:rsidRPr="00FA6CCF">
        <w:rPr>
          <w:rFonts w:ascii="Trebuchet MS" w:hAnsi="Trebuchet MS" w:cstheme="minorHAnsi"/>
          <w:b/>
          <w:bCs/>
          <w:color w:val="000000"/>
          <w:szCs w:val="24"/>
          <w:lang w:eastAsia="fr-FR"/>
        </w:rPr>
        <w:t xml:space="preserve">La </w:t>
      </w:r>
      <w:r w:rsidR="00CB3CB1" w:rsidRPr="00FA6CCF">
        <w:rPr>
          <w:rFonts w:ascii="Trebuchet MS" w:hAnsi="Trebuchet MS" w:cstheme="minorHAnsi"/>
          <w:b/>
          <w:bCs/>
          <w:color w:val="000000"/>
          <w:szCs w:val="24"/>
          <w:lang w:eastAsia="fr-FR"/>
        </w:rPr>
        <w:t>cinquième</w:t>
      </w:r>
      <w:r w:rsidRPr="00FA6CCF">
        <w:rPr>
          <w:rFonts w:ascii="Trebuchet MS" w:hAnsi="Trebuchet MS" w:cstheme="minorHAnsi"/>
          <w:b/>
          <w:bCs/>
          <w:color w:val="000000"/>
          <w:szCs w:val="24"/>
          <w:lang w:eastAsia="fr-FR"/>
        </w:rPr>
        <w:t xml:space="preserve"> colonne permet d’évaluer les dispositions prises par l</w:t>
      </w:r>
      <w:r w:rsidR="00CB3CB1" w:rsidRPr="00FA6CCF">
        <w:rPr>
          <w:rFonts w:ascii="Trebuchet MS" w:hAnsi="Trebuchet MS" w:cstheme="minorHAnsi"/>
          <w:b/>
          <w:bCs/>
          <w:color w:val="000000"/>
          <w:szCs w:val="24"/>
          <w:lang w:eastAsia="fr-FR"/>
        </w:rPr>
        <w:t>’organisme de certification pour</w:t>
      </w:r>
      <w:r w:rsidRPr="00FA6CCF">
        <w:rPr>
          <w:rFonts w:ascii="Trebuchet MS" w:hAnsi="Trebuchet MS" w:cstheme="minorHAnsi"/>
          <w:b/>
          <w:bCs/>
          <w:color w:val="000000"/>
          <w:szCs w:val="24"/>
          <w:lang w:eastAsia="fr-FR"/>
        </w:rPr>
        <w:t xml:space="preserve"> </w:t>
      </w:r>
      <w:r w:rsidR="00CB3CB1" w:rsidRPr="00FA6CCF">
        <w:rPr>
          <w:rFonts w:ascii="Trebuchet MS" w:hAnsi="Trebuchet MS" w:cstheme="minorHAnsi"/>
          <w:b/>
          <w:bCs/>
          <w:color w:val="000000"/>
          <w:szCs w:val="24"/>
          <w:lang w:eastAsia="fr-FR"/>
        </w:rPr>
        <w:t>r</w:t>
      </w:r>
      <w:r w:rsidRPr="00FA6CCF">
        <w:rPr>
          <w:rFonts w:ascii="Trebuchet MS" w:hAnsi="Trebuchet MS" w:cstheme="minorHAnsi"/>
          <w:b/>
          <w:bCs/>
          <w:color w:val="000000"/>
          <w:szCs w:val="24"/>
          <w:lang w:eastAsia="fr-FR"/>
        </w:rPr>
        <w:t>épondre aux exigences ;</w:t>
      </w:r>
    </w:p>
    <w:p w14:paraId="4DD67C34" w14:textId="09C3FF7D" w:rsidR="005D69A0" w:rsidRPr="00FA6CCF" w:rsidRDefault="000B4630" w:rsidP="00FA6CCF">
      <w:pPr>
        <w:pStyle w:val="Paragraphedeliste"/>
        <w:numPr>
          <w:ilvl w:val="0"/>
          <w:numId w:val="2"/>
        </w:numPr>
        <w:spacing w:line="360" w:lineRule="auto"/>
        <w:rPr>
          <w:rFonts w:ascii="Trebuchet MS" w:hAnsi="Trebuchet MS" w:cstheme="minorHAnsi"/>
          <w:b/>
          <w:bCs/>
          <w:color w:val="000000"/>
          <w:szCs w:val="24"/>
          <w:lang w:eastAsia="fr-FR"/>
        </w:rPr>
      </w:pPr>
      <w:r w:rsidRPr="00FA6CCF">
        <w:rPr>
          <w:rFonts w:ascii="Trebuchet MS" w:hAnsi="Trebuchet MS" w:cstheme="minorHAnsi"/>
          <w:b/>
          <w:bCs/>
          <w:color w:val="000000"/>
          <w:szCs w:val="24"/>
          <w:lang w:eastAsia="fr-FR"/>
        </w:rPr>
        <w:t>La</w:t>
      </w:r>
      <w:r w:rsidR="005D69A0" w:rsidRPr="00FA6CCF">
        <w:rPr>
          <w:rFonts w:ascii="Trebuchet MS" w:hAnsi="Trebuchet MS" w:cstheme="minorHAnsi"/>
          <w:b/>
          <w:bCs/>
          <w:color w:val="000000"/>
          <w:szCs w:val="24"/>
          <w:lang w:eastAsia="fr-FR"/>
        </w:rPr>
        <w:t xml:space="preserve"> </w:t>
      </w:r>
      <w:r w:rsidR="00CB3CB1" w:rsidRPr="00FA6CCF">
        <w:rPr>
          <w:rFonts w:ascii="Trebuchet MS" w:hAnsi="Trebuchet MS" w:cstheme="minorHAnsi"/>
          <w:b/>
          <w:bCs/>
          <w:color w:val="000000"/>
          <w:szCs w:val="24"/>
          <w:lang w:eastAsia="fr-FR"/>
        </w:rPr>
        <w:t>sixième</w:t>
      </w:r>
      <w:r w:rsidR="005D69A0" w:rsidRPr="00FA6CCF">
        <w:rPr>
          <w:rFonts w:ascii="Trebuchet MS" w:hAnsi="Trebuchet MS" w:cstheme="minorHAnsi"/>
          <w:b/>
          <w:bCs/>
          <w:color w:val="000000"/>
          <w:szCs w:val="24"/>
          <w:lang w:eastAsia="fr-FR"/>
        </w:rPr>
        <w:t xml:space="preserve"> colonne permet de déf</w:t>
      </w:r>
      <w:r w:rsidR="00C7127E" w:rsidRPr="00FA6CCF">
        <w:rPr>
          <w:rFonts w:ascii="Trebuchet MS" w:hAnsi="Trebuchet MS" w:cstheme="minorHAnsi"/>
          <w:b/>
          <w:bCs/>
          <w:color w:val="000000"/>
          <w:szCs w:val="24"/>
          <w:lang w:eastAsia="fr-FR"/>
        </w:rPr>
        <w:t>inir les actions mises en œuvre</w:t>
      </w:r>
      <w:r w:rsidR="005D69A0" w:rsidRPr="00FA6CCF">
        <w:rPr>
          <w:rFonts w:ascii="Trebuchet MS" w:hAnsi="Trebuchet MS" w:cstheme="minorHAnsi"/>
          <w:b/>
          <w:bCs/>
          <w:color w:val="000000"/>
          <w:szCs w:val="24"/>
          <w:lang w:eastAsia="fr-FR"/>
        </w:rPr>
        <w:t xml:space="preserve"> ou prévues pour se conformer aux exigences du chapitre ;</w:t>
      </w:r>
    </w:p>
    <w:p w14:paraId="3867AF88" w14:textId="175E47BF" w:rsidR="000D35C7" w:rsidRPr="00FA6CCF" w:rsidRDefault="000B4630" w:rsidP="00FA6CCF">
      <w:pPr>
        <w:pStyle w:val="Paragraphedeliste"/>
        <w:numPr>
          <w:ilvl w:val="0"/>
          <w:numId w:val="2"/>
        </w:numPr>
        <w:spacing w:line="360" w:lineRule="auto"/>
        <w:rPr>
          <w:rFonts w:ascii="Trebuchet MS" w:hAnsi="Trebuchet MS" w:cstheme="minorHAnsi"/>
          <w:b/>
          <w:bCs/>
          <w:color w:val="000000"/>
          <w:szCs w:val="24"/>
          <w:lang w:eastAsia="fr-FR"/>
        </w:rPr>
      </w:pPr>
      <w:r w:rsidRPr="00FA6CCF">
        <w:rPr>
          <w:rFonts w:ascii="Trebuchet MS" w:hAnsi="Trebuchet MS" w:cstheme="minorHAnsi"/>
          <w:b/>
          <w:bCs/>
          <w:color w:val="000000"/>
          <w:szCs w:val="24"/>
          <w:lang w:eastAsia="fr-FR"/>
        </w:rPr>
        <w:t>La</w:t>
      </w:r>
      <w:r w:rsidR="005D69A0" w:rsidRPr="00FA6CCF">
        <w:rPr>
          <w:rFonts w:ascii="Trebuchet MS" w:hAnsi="Trebuchet MS" w:cstheme="minorHAnsi"/>
          <w:b/>
          <w:bCs/>
          <w:color w:val="000000"/>
          <w:szCs w:val="24"/>
          <w:lang w:eastAsia="fr-FR"/>
        </w:rPr>
        <w:t xml:space="preserve"> </w:t>
      </w:r>
      <w:r w:rsidR="00CB3CB1" w:rsidRPr="00FA6CCF">
        <w:rPr>
          <w:rFonts w:ascii="Trebuchet MS" w:hAnsi="Trebuchet MS" w:cstheme="minorHAnsi"/>
          <w:b/>
          <w:bCs/>
          <w:color w:val="000000"/>
          <w:szCs w:val="24"/>
          <w:lang w:eastAsia="fr-FR"/>
        </w:rPr>
        <w:t xml:space="preserve">septième </w:t>
      </w:r>
      <w:r w:rsidR="000D35C7" w:rsidRPr="00FA6CCF">
        <w:rPr>
          <w:rFonts w:ascii="Trebuchet MS" w:hAnsi="Trebuchet MS" w:cstheme="minorHAnsi"/>
          <w:b/>
          <w:bCs/>
          <w:color w:val="000000"/>
          <w:szCs w:val="24"/>
          <w:lang w:eastAsia="fr-FR"/>
        </w:rPr>
        <w:t>colonne permet d</w:t>
      </w:r>
      <w:r w:rsidR="005D69A0" w:rsidRPr="00FA6CCF">
        <w:rPr>
          <w:rFonts w:ascii="Trebuchet MS" w:hAnsi="Trebuchet MS" w:cstheme="minorHAnsi"/>
          <w:b/>
          <w:bCs/>
          <w:color w:val="000000"/>
          <w:szCs w:val="24"/>
          <w:lang w:eastAsia="fr-FR"/>
        </w:rPr>
        <w:t>’évalu</w:t>
      </w:r>
      <w:r w:rsidR="00C7127E" w:rsidRPr="00FA6CCF">
        <w:rPr>
          <w:rFonts w:ascii="Trebuchet MS" w:hAnsi="Trebuchet MS" w:cstheme="minorHAnsi"/>
          <w:b/>
          <w:bCs/>
          <w:color w:val="000000"/>
          <w:szCs w:val="24"/>
          <w:lang w:eastAsia="fr-FR"/>
        </w:rPr>
        <w:t>er les délais de mises en œuvre</w:t>
      </w:r>
      <w:r w:rsidR="005D69A0" w:rsidRPr="00FA6CCF">
        <w:rPr>
          <w:rFonts w:ascii="Trebuchet MS" w:hAnsi="Trebuchet MS" w:cstheme="minorHAnsi"/>
          <w:b/>
          <w:bCs/>
          <w:color w:val="000000"/>
          <w:szCs w:val="24"/>
          <w:lang w:eastAsia="fr-FR"/>
        </w:rPr>
        <w:t xml:space="preserve"> pour chaque action ;</w:t>
      </w:r>
    </w:p>
    <w:p w14:paraId="7CC5C9AC" w14:textId="7DA31771" w:rsidR="000D35C7" w:rsidRPr="00FA6CCF" w:rsidRDefault="000B4630" w:rsidP="00FA6CCF">
      <w:pPr>
        <w:pStyle w:val="Paragraphedeliste"/>
        <w:numPr>
          <w:ilvl w:val="0"/>
          <w:numId w:val="2"/>
        </w:numPr>
        <w:spacing w:line="360" w:lineRule="auto"/>
        <w:rPr>
          <w:rFonts w:ascii="Trebuchet MS" w:hAnsi="Trebuchet MS" w:cstheme="minorHAnsi"/>
          <w:b/>
          <w:bCs/>
          <w:color w:val="000000"/>
          <w:szCs w:val="24"/>
          <w:lang w:eastAsia="fr-FR"/>
        </w:rPr>
      </w:pPr>
      <w:r w:rsidRPr="00FA6CCF">
        <w:rPr>
          <w:rFonts w:ascii="Trebuchet MS" w:hAnsi="Trebuchet MS" w:cstheme="minorHAnsi"/>
          <w:b/>
          <w:bCs/>
          <w:color w:val="000000"/>
          <w:szCs w:val="24"/>
          <w:lang w:eastAsia="fr-FR"/>
        </w:rPr>
        <w:t>La</w:t>
      </w:r>
      <w:r w:rsidR="005D69A0" w:rsidRPr="00FA6CCF">
        <w:rPr>
          <w:rFonts w:ascii="Trebuchet MS" w:hAnsi="Trebuchet MS" w:cstheme="minorHAnsi"/>
          <w:b/>
          <w:bCs/>
          <w:color w:val="000000"/>
          <w:szCs w:val="24"/>
          <w:lang w:eastAsia="fr-FR"/>
        </w:rPr>
        <w:t xml:space="preserve"> dernière</w:t>
      </w:r>
      <w:r w:rsidR="000D35C7" w:rsidRPr="00FA6CCF">
        <w:rPr>
          <w:rFonts w:ascii="Trebuchet MS" w:hAnsi="Trebuchet MS" w:cstheme="minorHAnsi"/>
          <w:b/>
          <w:bCs/>
          <w:color w:val="000000"/>
          <w:szCs w:val="24"/>
          <w:lang w:eastAsia="fr-FR"/>
        </w:rPr>
        <w:t xml:space="preserve"> colonne est utilisée</w:t>
      </w:r>
      <w:r w:rsidR="005D69A0" w:rsidRPr="00FA6CCF">
        <w:rPr>
          <w:rFonts w:ascii="Trebuchet MS" w:hAnsi="Trebuchet MS" w:cstheme="minorHAnsi"/>
          <w:b/>
          <w:bCs/>
          <w:color w:val="000000"/>
          <w:szCs w:val="24"/>
          <w:lang w:eastAsia="fr-FR"/>
        </w:rPr>
        <w:t xml:space="preserve"> pour enregistrer des remarques et/ou commentaires.</w:t>
      </w:r>
    </w:p>
    <w:p w14:paraId="7B799277" w14:textId="77777777" w:rsidR="00FA6CCF" w:rsidRPr="00FA6CCF" w:rsidRDefault="00FA6CCF" w:rsidP="00FA6CCF">
      <w:pPr>
        <w:spacing w:line="360" w:lineRule="auto"/>
        <w:rPr>
          <w:rFonts w:ascii="Trebuchet MS" w:hAnsi="Trebuchet MS" w:cstheme="minorHAnsi"/>
          <w:b/>
          <w:bCs/>
          <w:color w:val="000000"/>
          <w:szCs w:val="24"/>
          <w:lang w:eastAsia="fr-FR"/>
        </w:rPr>
        <w:sectPr w:rsidR="00FA6CCF" w:rsidRPr="00FA6CCF" w:rsidSect="00F341A8">
          <w:headerReference w:type="default" r:id="rId8"/>
          <w:footerReference w:type="first" r:id="rId9"/>
          <w:pgSz w:w="16840" w:h="11907" w:orient="landscape" w:code="9"/>
          <w:pgMar w:top="1440" w:right="1440" w:bottom="1440" w:left="1440" w:header="709" w:footer="430" w:gutter="0"/>
          <w:cols w:space="708"/>
          <w:docGrid w:linePitch="360"/>
        </w:sectPr>
      </w:pPr>
    </w:p>
    <w:tbl>
      <w:tblPr>
        <w:tblStyle w:val="TableauGrille1Clair"/>
        <w:tblpPr w:leftFromText="141" w:rightFromText="141" w:vertAnchor="text" w:tblpXSpec="center" w:tblpY="1"/>
        <w:tblOverlap w:val="never"/>
        <w:tblW w:w="15815" w:type="dxa"/>
        <w:tblLayout w:type="fixed"/>
        <w:tblLook w:val="04A0" w:firstRow="1" w:lastRow="0" w:firstColumn="1" w:lastColumn="0" w:noHBand="0" w:noVBand="1"/>
      </w:tblPr>
      <w:tblGrid>
        <w:gridCol w:w="907"/>
        <w:gridCol w:w="2236"/>
        <w:gridCol w:w="907"/>
        <w:gridCol w:w="3828"/>
        <w:gridCol w:w="2608"/>
        <w:gridCol w:w="2154"/>
        <w:gridCol w:w="1105"/>
        <w:gridCol w:w="2070"/>
      </w:tblGrid>
      <w:tr w:rsidR="00F341A8" w:rsidRPr="002313F3" w14:paraId="3D5D4F31" w14:textId="7D696269" w:rsidTr="00CE48F1">
        <w:trPr>
          <w:cnfStyle w:val="100000000000" w:firstRow="1" w:lastRow="0" w:firstColumn="0" w:lastColumn="0" w:oddVBand="0" w:evenVBand="0" w:oddHBand="0" w:evenHBand="0" w:firstRowFirstColumn="0" w:firstRowLastColumn="0" w:lastRowFirstColumn="0" w:lastRowLastColumn="0"/>
          <w:trHeight w:val="833"/>
          <w:tblHeader/>
        </w:trPr>
        <w:tc>
          <w:tcPr>
            <w:cnfStyle w:val="001000000000" w:firstRow="0" w:lastRow="0" w:firstColumn="1" w:lastColumn="0" w:oddVBand="0" w:evenVBand="0" w:oddHBand="0" w:evenHBand="0" w:firstRowFirstColumn="0" w:firstRowLastColumn="0" w:lastRowFirstColumn="0" w:lastRowLastColumn="0"/>
            <w:tcW w:w="907" w:type="dxa"/>
            <w:shd w:val="clear" w:color="auto" w:fill="D9D9D9" w:themeFill="background1" w:themeFillShade="D9"/>
            <w:noWrap/>
            <w:vAlign w:val="center"/>
            <w:hideMark/>
          </w:tcPr>
          <w:p w14:paraId="29199D44" w14:textId="77777777" w:rsidR="005B5870" w:rsidRPr="002313F3" w:rsidRDefault="005B5870" w:rsidP="00CE48F1">
            <w:pPr>
              <w:ind w:left="-120"/>
              <w:jc w:val="center"/>
              <w:rPr>
                <w:rFonts w:asciiTheme="minorHAnsi" w:hAnsiTheme="minorHAnsi" w:cstheme="minorHAnsi"/>
                <w:b w:val="0"/>
                <w:bCs w:val="0"/>
                <w:sz w:val="20"/>
              </w:rPr>
            </w:pPr>
            <w:r w:rsidRPr="002313F3">
              <w:rPr>
                <w:rFonts w:asciiTheme="minorHAnsi" w:hAnsiTheme="minorHAnsi" w:cstheme="minorHAnsi"/>
                <w:sz w:val="20"/>
              </w:rPr>
              <w:lastRenderedPageBreak/>
              <w:t>Chapitres</w:t>
            </w:r>
          </w:p>
        </w:tc>
        <w:tc>
          <w:tcPr>
            <w:tcW w:w="2236" w:type="dxa"/>
            <w:shd w:val="clear" w:color="auto" w:fill="D9D9D9" w:themeFill="background1" w:themeFillShade="D9"/>
            <w:vAlign w:val="center"/>
            <w:hideMark/>
          </w:tcPr>
          <w:p w14:paraId="56B314BD" w14:textId="182C990E" w:rsidR="005B5870" w:rsidRPr="002313F3" w:rsidRDefault="005B5870" w:rsidP="00CE48F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rPr>
            </w:pPr>
            <w:r w:rsidRPr="002313F3">
              <w:rPr>
                <w:rFonts w:asciiTheme="minorHAnsi" w:hAnsiTheme="minorHAnsi" w:cstheme="minorHAnsi"/>
                <w:sz w:val="20"/>
              </w:rPr>
              <w:t>Exigences ISO/IEC 17021-1 : 2015</w:t>
            </w:r>
          </w:p>
        </w:tc>
        <w:tc>
          <w:tcPr>
            <w:tcW w:w="907" w:type="dxa"/>
            <w:shd w:val="clear" w:color="auto" w:fill="D9D9D9" w:themeFill="background1" w:themeFillShade="D9"/>
            <w:vAlign w:val="center"/>
            <w:hideMark/>
          </w:tcPr>
          <w:p w14:paraId="2F2F8B1A" w14:textId="0134A810" w:rsidR="005B5870" w:rsidRPr="002313F3" w:rsidRDefault="005B5870" w:rsidP="00CE48F1">
            <w:pPr>
              <w:ind w:left="-135"/>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rPr>
            </w:pPr>
            <w:r w:rsidRPr="002313F3">
              <w:rPr>
                <w:rFonts w:asciiTheme="minorHAnsi" w:hAnsiTheme="minorHAnsi" w:cstheme="minorHAnsi"/>
                <w:sz w:val="20"/>
              </w:rPr>
              <w:t>Chapitres</w:t>
            </w:r>
          </w:p>
        </w:tc>
        <w:tc>
          <w:tcPr>
            <w:tcW w:w="3828" w:type="dxa"/>
            <w:shd w:val="clear" w:color="auto" w:fill="D9D9D9" w:themeFill="background1" w:themeFillShade="D9"/>
            <w:vAlign w:val="center"/>
            <w:hideMark/>
          </w:tcPr>
          <w:p w14:paraId="4DF82243" w14:textId="7A858F33" w:rsidR="005B5870" w:rsidRPr="002313F3" w:rsidRDefault="005B5870" w:rsidP="00CE48F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rPr>
            </w:pPr>
            <w:r w:rsidRPr="002313F3">
              <w:rPr>
                <w:rFonts w:asciiTheme="minorHAnsi" w:hAnsiTheme="minorHAnsi" w:cstheme="minorHAnsi"/>
                <w:sz w:val="20"/>
              </w:rPr>
              <w:t>Exigences supplémentaires de l'ISO 22003-1 :2022 par rapport à l'ISO/IEC 17021-1 :</w:t>
            </w:r>
            <w:r w:rsidR="00F341A8">
              <w:rPr>
                <w:rFonts w:asciiTheme="minorHAnsi" w:hAnsiTheme="minorHAnsi" w:cstheme="minorHAnsi"/>
                <w:sz w:val="20"/>
              </w:rPr>
              <w:t xml:space="preserve"> </w:t>
            </w:r>
            <w:r w:rsidRPr="002313F3">
              <w:rPr>
                <w:rFonts w:asciiTheme="minorHAnsi" w:hAnsiTheme="minorHAnsi" w:cstheme="minorHAnsi"/>
                <w:sz w:val="20"/>
              </w:rPr>
              <w:t>2015</w:t>
            </w:r>
          </w:p>
        </w:tc>
        <w:tc>
          <w:tcPr>
            <w:tcW w:w="2608" w:type="dxa"/>
            <w:shd w:val="clear" w:color="auto" w:fill="D9D9D9" w:themeFill="background1" w:themeFillShade="D9"/>
            <w:vAlign w:val="center"/>
          </w:tcPr>
          <w:p w14:paraId="247A95AB" w14:textId="1EE644C2" w:rsidR="005B5870" w:rsidRPr="002313F3" w:rsidRDefault="005B5870" w:rsidP="00CE48F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rPr>
            </w:pPr>
            <w:r w:rsidRPr="005B5870">
              <w:rPr>
                <w:rFonts w:asciiTheme="minorHAnsi" w:hAnsiTheme="minorHAnsi" w:cstheme="minorHAnsi"/>
                <w:sz w:val="20"/>
              </w:rPr>
              <w:t>Actions mises en place ou prévues par l</w:t>
            </w:r>
            <w:r>
              <w:rPr>
                <w:rFonts w:asciiTheme="minorHAnsi" w:hAnsiTheme="minorHAnsi" w:cstheme="minorHAnsi"/>
                <w:sz w:val="20"/>
              </w:rPr>
              <w:t>’organisme de certification</w:t>
            </w:r>
          </w:p>
        </w:tc>
        <w:tc>
          <w:tcPr>
            <w:tcW w:w="2154" w:type="dxa"/>
            <w:shd w:val="clear" w:color="auto" w:fill="D9D9D9" w:themeFill="background1" w:themeFillShade="D9"/>
            <w:vAlign w:val="center"/>
            <w:hideMark/>
          </w:tcPr>
          <w:p w14:paraId="4347388F" w14:textId="2081893C" w:rsidR="005B5870" w:rsidRPr="002313F3" w:rsidRDefault="005B5870" w:rsidP="00CE48F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rPr>
            </w:pPr>
            <w:r w:rsidRPr="002313F3">
              <w:rPr>
                <w:rFonts w:asciiTheme="minorHAnsi" w:hAnsiTheme="minorHAnsi" w:cstheme="minorHAnsi"/>
                <w:sz w:val="20"/>
              </w:rPr>
              <w:t>Politiques /Processus/</w:t>
            </w:r>
            <w:r w:rsidRPr="002313F3">
              <w:rPr>
                <w:rFonts w:asciiTheme="minorHAnsi" w:hAnsiTheme="minorHAnsi" w:cstheme="minorHAnsi"/>
                <w:sz w:val="20"/>
              </w:rPr>
              <w:br/>
              <w:t>Procédure/Documents</w:t>
            </w:r>
          </w:p>
        </w:tc>
        <w:tc>
          <w:tcPr>
            <w:tcW w:w="1105" w:type="dxa"/>
            <w:shd w:val="clear" w:color="auto" w:fill="D9D9D9" w:themeFill="background1" w:themeFillShade="D9"/>
            <w:vAlign w:val="center"/>
            <w:hideMark/>
          </w:tcPr>
          <w:p w14:paraId="6BD75FD2" w14:textId="0167E790" w:rsidR="005B5870" w:rsidRDefault="005B5870" w:rsidP="00CE48F1">
            <w:pPr>
              <w:ind w:left="-416" w:right="-538"/>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rPr>
            </w:pPr>
            <w:r w:rsidRPr="002313F3">
              <w:rPr>
                <w:rFonts w:asciiTheme="minorHAnsi" w:hAnsiTheme="minorHAnsi" w:cstheme="minorHAnsi"/>
                <w:sz w:val="20"/>
              </w:rPr>
              <w:t>Date</w:t>
            </w:r>
            <w:r w:rsidR="00F341A8">
              <w:rPr>
                <w:rFonts w:asciiTheme="minorHAnsi" w:hAnsiTheme="minorHAnsi" w:cstheme="minorHAnsi"/>
                <w:b w:val="0"/>
                <w:bCs w:val="0"/>
                <w:sz w:val="20"/>
              </w:rPr>
              <w:t xml:space="preserve"> </w:t>
            </w:r>
            <w:r w:rsidRPr="002313F3">
              <w:rPr>
                <w:rFonts w:asciiTheme="minorHAnsi" w:hAnsiTheme="minorHAnsi" w:cstheme="minorHAnsi"/>
                <w:sz w:val="20"/>
              </w:rPr>
              <w:t>de</w:t>
            </w:r>
          </w:p>
          <w:p w14:paraId="1E51A616" w14:textId="537C8A6D" w:rsidR="005B5870" w:rsidRPr="002313F3" w:rsidRDefault="005B5870" w:rsidP="00CE48F1">
            <w:pPr>
              <w:ind w:left="-416" w:right="-538"/>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rPr>
            </w:pPr>
            <w:r w:rsidRPr="002313F3">
              <w:rPr>
                <w:rFonts w:asciiTheme="minorHAnsi" w:hAnsiTheme="minorHAnsi" w:cstheme="minorHAnsi"/>
                <w:sz w:val="20"/>
              </w:rPr>
              <w:t>réalisation</w:t>
            </w:r>
          </w:p>
        </w:tc>
        <w:tc>
          <w:tcPr>
            <w:tcW w:w="2070" w:type="dxa"/>
            <w:shd w:val="clear" w:color="auto" w:fill="D9D9D9" w:themeFill="background1" w:themeFillShade="D9"/>
            <w:vAlign w:val="center"/>
          </w:tcPr>
          <w:p w14:paraId="4EF147BC" w14:textId="56BAE995" w:rsidR="005B5870" w:rsidRPr="002313F3" w:rsidRDefault="005B5870" w:rsidP="00CE48F1">
            <w:pPr>
              <w:ind w:right="-538"/>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rPr>
            </w:pPr>
            <w:r>
              <w:rPr>
                <w:rFonts w:asciiTheme="minorHAnsi" w:hAnsiTheme="minorHAnsi" w:cstheme="minorHAnsi"/>
                <w:sz w:val="20"/>
              </w:rPr>
              <w:t>Commentaires</w:t>
            </w:r>
          </w:p>
        </w:tc>
      </w:tr>
      <w:tr w:rsidR="00FA6CCF" w:rsidRPr="002313F3" w14:paraId="555CC668" w14:textId="1959DF3A" w:rsidTr="00CE48F1">
        <w:trPr>
          <w:trHeight w:val="340"/>
        </w:trPr>
        <w:tc>
          <w:tcPr>
            <w:cnfStyle w:val="001000000000" w:firstRow="0" w:lastRow="0" w:firstColumn="1" w:lastColumn="0" w:oddVBand="0" w:evenVBand="0" w:oddHBand="0" w:evenHBand="0" w:firstRowFirstColumn="0" w:firstRowLastColumn="0" w:lastRowFirstColumn="0" w:lastRowLastColumn="0"/>
            <w:tcW w:w="907" w:type="dxa"/>
            <w:shd w:val="clear" w:color="auto" w:fill="D9D9D9" w:themeFill="background1" w:themeFillShade="D9"/>
            <w:noWrap/>
            <w:vAlign w:val="center"/>
            <w:hideMark/>
          </w:tcPr>
          <w:p w14:paraId="3FB3E34B" w14:textId="3DF854A2" w:rsidR="00FA6CCF" w:rsidRPr="002313F3" w:rsidRDefault="00FA6CCF" w:rsidP="00CE48F1">
            <w:pPr>
              <w:rPr>
                <w:rFonts w:asciiTheme="minorHAnsi" w:hAnsiTheme="minorHAnsi" w:cstheme="minorHAnsi"/>
                <w:b w:val="0"/>
                <w:bCs w:val="0"/>
                <w:sz w:val="20"/>
              </w:rPr>
            </w:pPr>
            <w:r>
              <w:rPr>
                <w:rFonts w:asciiTheme="minorHAnsi" w:hAnsiTheme="minorHAnsi" w:cstheme="minorHAnsi"/>
                <w:sz w:val="20"/>
              </w:rPr>
              <w:t>5.</w:t>
            </w:r>
          </w:p>
        </w:tc>
        <w:tc>
          <w:tcPr>
            <w:tcW w:w="2236" w:type="dxa"/>
            <w:shd w:val="clear" w:color="auto" w:fill="D9D9D9" w:themeFill="background1" w:themeFillShade="D9"/>
            <w:vAlign w:val="center"/>
          </w:tcPr>
          <w:p w14:paraId="3009BFCD" w14:textId="5DE53A3E" w:rsidR="00FA6CCF" w:rsidRPr="002313F3" w:rsidRDefault="00FA6CCF"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Exigences générales</w:t>
            </w:r>
          </w:p>
        </w:tc>
        <w:tc>
          <w:tcPr>
            <w:tcW w:w="907" w:type="dxa"/>
            <w:shd w:val="clear" w:color="auto" w:fill="D9D9D9" w:themeFill="background1" w:themeFillShade="D9"/>
            <w:noWrap/>
            <w:vAlign w:val="center"/>
            <w:hideMark/>
          </w:tcPr>
          <w:p w14:paraId="73237B93" w14:textId="5ADFFC77" w:rsidR="00FA6CCF" w:rsidRPr="002313F3" w:rsidRDefault="00FA6CCF"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5. </w:t>
            </w:r>
          </w:p>
        </w:tc>
        <w:tc>
          <w:tcPr>
            <w:tcW w:w="3828" w:type="dxa"/>
            <w:shd w:val="clear" w:color="auto" w:fill="D9D9D9" w:themeFill="background1" w:themeFillShade="D9"/>
            <w:noWrap/>
            <w:vAlign w:val="center"/>
            <w:hideMark/>
          </w:tcPr>
          <w:p w14:paraId="3348B39C" w14:textId="55948568" w:rsidR="00FA6CCF" w:rsidRPr="002313F3" w:rsidRDefault="00FA6CCF"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Exigences générales</w:t>
            </w:r>
          </w:p>
        </w:tc>
        <w:tc>
          <w:tcPr>
            <w:tcW w:w="7937" w:type="dxa"/>
            <w:gridSpan w:val="4"/>
            <w:shd w:val="clear" w:color="auto" w:fill="D9D9D9" w:themeFill="background1" w:themeFillShade="D9"/>
            <w:vAlign w:val="center"/>
          </w:tcPr>
          <w:p w14:paraId="27D56513" w14:textId="612C9BE8" w:rsidR="00FA6CCF" w:rsidRPr="002313F3" w:rsidRDefault="00FA6CCF"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2E41D60C" w14:textId="40935BCD"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633469AF"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5.1</w:t>
            </w:r>
          </w:p>
        </w:tc>
        <w:tc>
          <w:tcPr>
            <w:tcW w:w="2236" w:type="dxa"/>
            <w:vAlign w:val="center"/>
            <w:hideMark/>
          </w:tcPr>
          <w:p w14:paraId="6CC7399C"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Domaine juridique et contractuel </w:t>
            </w:r>
          </w:p>
        </w:tc>
        <w:tc>
          <w:tcPr>
            <w:tcW w:w="907" w:type="dxa"/>
            <w:noWrap/>
            <w:vAlign w:val="center"/>
            <w:hideMark/>
          </w:tcPr>
          <w:p w14:paraId="31FA0A1D"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5.1</w:t>
            </w:r>
          </w:p>
        </w:tc>
        <w:tc>
          <w:tcPr>
            <w:tcW w:w="3828" w:type="dxa"/>
            <w:vMerge w:val="restart"/>
            <w:noWrap/>
            <w:vAlign w:val="center"/>
            <w:hideMark/>
          </w:tcPr>
          <w:p w14:paraId="6062B880" w14:textId="4B2CFA8C"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L'ensemble des exigences du chapitre 05 de l'ISO/IEC 17021-1 doivent être respectées.</w:t>
            </w:r>
          </w:p>
        </w:tc>
        <w:tc>
          <w:tcPr>
            <w:tcW w:w="2608" w:type="dxa"/>
            <w:vAlign w:val="center"/>
          </w:tcPr>
          <w:p w14:paraId="02E58789"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464CE8A8" w14:textId="62917FED"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0F864CED"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70358F67"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77263013" w14:textId="51CB4AA4"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2EBD5BCF"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5.2</w:t>
            </w:r>
          </w:p>
        </w:tc>
        <w:tc>
          <w:tcPr>
            <w:tcW w:w="2236" w:type="dxa"/>
            <w:vAlign w:val="center"/>
            <w:hideMark/>
          </w:tcPr>
          <w:p w14:paraId="3177D8AF"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Gestion de l’impartialité</w:t>
            </w:r>
          </w:p>
        </w:tc>
        <w:tc>
          <w:tcPr>
            <w:tcW w:w="907" w:type="dxa"/>
            <w:noWrap/>
            <w:vAlign w:val="center"/>
            <w:hideMark/>
          </w:tcPr>
          <w:p w14:paraId="5DC08C29"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5.2</w:t>
            </w:r>
          </w:p>
        </w:tc>
        <w:tc>
          <w:tcPr>
            <w:tcW w:w="3828" w:type="dxa"/>
            <w:vMerge/>
            <w:vAlign w:val="center"/>
            <w:hideMark/>
          </w:tcPr>
          <w:p w14:paraId="3ECDF1E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vAlign w:val="center"/>
          </w:tcPr>
          <w:p w14:paraId="577C5FB1"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7DC56801" w14:textId="3A8D3D7B"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1933E6B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7EFB68E4"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4138C494" w14:textId="0DF3E193"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0F0F3AF2"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5.3</w:t>
            </w:r>
          </w:p>
        </w:tc>
        <w:tc>
          <w:tcPr>
            <w:tcW w:w="2236" w:type="dxa"/>
            <w:vAlign w:val="center"/>
            <w:hideMark/>
          </w:tcPr>
          <w:p w14:paraId="56551B12"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Responsabilité et situation financière</w:t>
            </w:r>
          </w:p>
        </w:tc>
        <w:tc>
          <w:tcPr>
            <w:tcW w:w="907" w:type="dxa"/>
            <w:noWrap/>
            <w:vAlign w:val="center"/>
            <w:hideMark/>
          </w:tcPr>
          <w:p w14:paraId="19FC747B"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5.3</w:t>
            </w:r>
          </w:p>
        </w:tc>
        <w:tc>
          <w:tcPr>
            <w:tcW w:w="3828" w:type="dxa"/>
            <w:vMerge/>
            <w:vAlign w:val="center"/>
            <w:hideMark/>
          </w:tcPr>
          <w:p w14:paraId="050D5E97"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vAlign w:val="center"/>
          </w:tcPr>
          <w:p w14:paraId="354FA368"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6CF27A67" w14:textId="596FE922"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2D4EC06C"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602189DC"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FA6CCF" w:rsidRPr="002313F3" w14:paraId="1EC4A212" w14:textId="01B2A560" w:rsidTr="00CE48F1">
        <w:trPr>
          <w:trHeight w:val="340"/>
        </w:trPr>
        <w:tc>
          <w:tcPr>
            <w:cnfStyle w:val="001000000000" w:firstRow="0" w:lastRow="0" w:firstColumn="1" w:lastColumn="0" w:oddVBand="0" w:evenVBand="0" w:oddHBand="0" w:evenHBand="0" w:firstRowFirstColumn="0" w:firstRowLastColumn="0" w:lastRowFirstColumn="0" w:lastRowLastColumn="0"/>
            <w:tcW w:w="907" w:type="dxa"/>
            <w:shd w:val="clear" w:color="auto" w:fill="D9D9D9" w:themeFill="background1" w:themeFillShade="D9"/>
            <w:noWrap/>
            <w:vAlign w:val="center"/>
            <w:hideMark/>
          </w:tcPr>
          <w:p w14:paraId="39DA3756" w14:textId="15872D29" w:rsidR="00FA6CCF" w:rsidRPr="002313F3" w:rsidRDefault="00FA6CCF" w:rsidP="00CE48F1">
            <w:pPr>
              <w:rPr>
                <w:rFonts w:asciiTheme="minorHAnsi" w:hAnsiTheme="minorHAnsi" w:cstheme="minorHAnsi"/>
                <w:b w:val="0"/>
                <w:bCs w:val="0"/>
                <w:sz w:val="20"/>
              </w:rPr>
            </w:pPr>
            <w:r w:rsidRPr="002313F3">
              <w:rPr>
                <w:rFonts w:asciiTheme="minorHAnsi" w:hAnsiTheme="minorHAnsi" w:cstheme="minorHAnsi"/>
                <w:sz w:val="20"/>
              </w:rPr>
              <w:t>6.</w:t>
            </w:r>
          </w:p>
        </w:tc>
        <w:tc>
          <w:tcPr>
            <w:tcW w:w="2236" w:type="dxa"/>
            <w:shd w:val="clear" w:color="auto" w:fill="D9D9D9" w:themeFill="background1" w:themeFillShade="D9"/>
            <w:vAlign w:val="center"/>
          </w:tcPr>
          <w:p w14:paraId="269BF72D" w14:textId="355A1E7D" w:rsidR="00FA6CCF" w:rsidRPr="002313F3" w:rsidRDefault="00FA6CCF"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Exigences structurelles</w:t>
            </w:r>
          </w:p>
        </w:tc>
        <w:tc>
          <w:tcPr>
            <w:tcW w:w="907" w:type="dxa"/>
            <w:shd w:val="clear" w:color="auto" w:fill="D9D9D9" w:themeFill="background1" w:themeFillShade="D9"/>
            <w:vAlign w:val="center"/>
          </w:tcPr>
          <w:p w14:paraId="02320E9B" w14:textId="3C2A0AB0" w:rsidR="00FA6CCF" w:rsidRPr="002313F3" w:rsidRDefault="00FA6CCF"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b/>
                <w:bCs/>
                <w:sz w:val="20"/>
              </w:rPr>
              <w:t>6</w:t>
            </w:r>
          </w:p>
        </w:tc>
        <w:tc>
          <w:tcPr>
            <w:tcW w:w="3828" w:type="dxa"/>
            <w:shd w:val="clear" w:color="auto" w:fill="D9D9D9" w:themeFill="background1" w:themeFillShade="D9"/>
            <w:vAlign w:val="center"/>
          </w:tcPr>
          <w:p w14:paraId="69AB642B" w14:textId="063EDDB3" w:rsidR="00FA6CCF" w:rsidRPr="002313F3" w:rsidRDefault="00FA6CCF"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Exigences structurelles</w:t>
            </w:r>
          </w:p>
        </w:tc>
        <w:tc>
          <w:tcPr>
            <w:tcW w:w="7937" w:type="dxa"/>
            <w:gridSpan w:val="4"/>
            <w:shd w:val="clear" w:color="auto" w:fill="D9D9D9" w:themeFill="background1" w:themeFillShade="D9"/>
            <w:vAlign w:val="center"/>
          </w:tcPr>
          <w:p w14:paraId="3D7F0F4B" w14:textId="11F057B9" w:rsidR="00FA6CCF" w:rsidRPr="002313F3" w:rsidRDefault="00FA6CCF"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E4034B5" w14:textId="4E7A8BA9"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788A6134"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6.1</w:t>
            </w:r>
          </w:p>
        </w:tc>
        <w:tc>
          <w:tcPr>
            <w:tcW w:w="2236" w:type="dxa"/>
            <w:vAlign w:val="center"/>
            <w:hideMark/>
          </w:tcPr>
          <w:p w14:paraId="6FC011D5"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Organisation et direction </w:t>
            </w:r>
          </w:p>
        </w:tc>
        <w:tc>
          <w:tcPr>
            <w:tcW w:w="907" w:type="dxa"/>
            <w:noWrap/>
            <w:vAlign w:val="center"/>
            <w:hideMark/>
          </w:tcPr>
          <w:p w14:paraId="367901A7"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6.1</w:t>
            </w:r>
          </w:p>
        </w:tc>
        <w:tc>
          <w:tcPr>
            <w:tcW w:w="3828" w:type="dxa"/>
            <w:vMerge w:val="restart"/>
            <w:noWrap/>
            <w:vAlign w:val="center"/>
            <w:hideMark/>
          </w:tcPr>
          <w:p w14:paraId="5B414573" w14:textId="32AC4D00"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L'ensemble des exigences du chapitre 06 de l'ISO/IEC 17021-1 doivent être respectées.</w:t>
            </w:r>
          </w:p>
        </w:tc>
        <w:tc>
          <w:tcPr>
            <w:tcW w:w="2608" w:type="dxa"/>
            <w:vAlign w:val="center"/>
          </w:tcPr>
          <w:p w14:paraId="7B2C95EB"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72122830" w14:textId="11D3889C"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3D9CAA5B"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4E4CB3F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14A72BB" w14:textId="6FA05E25"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4032E0D1"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6.2</w:t>
            </w:r>
          </w:p>
        </w:tc>
        <w:tc>
          <w:tcPr>
            <w:tcW w:w="2236" w:type="dxa"/>
            <w:vAlign w:val="center"/>
            <w:hideMark/>
          </w:tcPr>
          <w:p w14:paraId="7AE77C54"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Maitrise opérationnelle </w:t>
            </w:r>
          </w:p>
        </w:tc>
        <w:tc>
          <w:tcPr>
            <w:tcW w:w="907" w:type="dxa"/>
            <w:noWrap/>
            <w:vAlign w:val="center"/>
            <w:hideMark/>
          </w:tcPr>
          <w:p w14:paraId="1D998A85"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6.2</w:t>
            </w:r>
          </w:p>
        </w:tc>
        <w:tc>
          <w:tcPr>
            <w:tcW w:w="3828" w:type="dxa"/>
            <w:vMerge/>
            <w:vAlign w:val="center"/>
            <w:hideMark/>
          </w:tcPr>
          <w:p w14:paraId="2663C84A"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vAlign w:val="center"/>
          </w:tcPr>
          <w:p w14:paraId="70625F3F"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5D078CA8" w14:textId="788062FC"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05ABF7B4"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7648AEB8"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FA6CCF" w:rsidRPr="002313F3" w14:paraId="49B76972" w14:textId="5D63BDA8" w:rsidTr="00CE48F1">
        <w:trPr>
          <w:trHeight w:val="510"/>
        </w:trPr>
        <w:tc>
          <w:tcPr>
            <w:cnfStyle w:val="001000000000" w:firstRow="0" w:lastRow="0" w:firstColumn="1" w:lastColumn="0" w:oddVBand="0" w:evenVBand="0" w:oddHBand="0" w:evenHBand="0" w:firstRowFirstColumn="0" w:firstRowLastColumn="0" w:lastRowFirstColumn="0" w:lastRowLastColumn="0"/>
            <w:tcW w:w="907" w:type="dxa"/>
            <w:shd w:val="clear" w:color="auto" w:fill="D9D9D9" w:themeFill="background1" w:themeFillShade="D9"/>
            <w:noWrap/>
            <w:vAlign w:val="center"/>
            <w:hideMark/>
          </w:tcPr>
          <w:p w14:paraId="10204E92" w14:textId="72F4CEEB"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 7.</w:t>
            </w:r>
          </w:p>
        </w:tc>
        <w:tc>
          <w:tcPr>
            <w:tcW w:w="2236" w:type="dxa"/>
            <w:shd w:val="clear" w:color="auto" w:fill="D9D9D9" w:themeFill="background1" w:themeFillShade="D9"/>
            <w:vAlign w:val="center"/>
          </w:tcPr>
          <w:p w14:paraId="22AD22DB" w14:textId="532D728C"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Exigences relatives aux ressources</w:t>
            </w:r>
          </w:p>
        </w:tc>
        <w:tc>
          <w:tcPr>
            <w:tcW w:w="907" w:type="dxa"/>
            <w:shd w:val="clear" w:color="auto" w:fill="D9D9D9" w:themeFill="background1" w:themeFillShade="D9"/>
            <w:vAlign w:val="center"/>
          </w:tcPr>
          <w:p w14:paraId="243DB60F" w14:textId="34B2FD3D"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sz w:val="20"/>
              </w:rPr>
              <w:t> </w:t>
            </w:r>
            <w:r w:rsidRPr="002313F3">
              <w:rPr>
                <w:rFonts w:asciiTheme="minorHAnsi" w:hAnsiTheme="minorHAnsi" w:cstheme="minorHAnsi"/>
                <w:b/>
                <w:bCs/>
                <w:sz w:val="20"/>
              </w:rPr>
              <w:t>7.</w:t>
            </w:r>
          </w:p>
        </w:tc>
        <w:tc>
          <w:tcPr>
            <w:tcW w:w="3828" w:type="dxa"/>
            <w:shd w:val="clear" w:color="auto" w:fill="D9D9D9" w:themeFill="background1" w:themeFillShade="D9"/>
            <w:vAlign w:val="center"/>
          </w:tcPr>
          <w:p w14:paraId="5664DD2D" w14:textId="119037CF"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Exigences relatives aux ressources</w:t>
            </w:r>
          </w:p>
        </w:tc>
        <w:tc>
          <w:tcPr>
            <w:tcW w:w="2608" w:type="dxa"/>
            <w:shd w:val="clear" w:color="auto" w:fill="D9D9D9" w:themeFill="background1" w:themeFillShade="D9"/>
            <w:vAlign w:val="center"/>
          </w:tcPr>
          <w:p w14:paraId="020A0E6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shd w:val="clear" w:color="auto" w:fill="D9D9D9" w:themeFill="background1" w:themeFillShade="D9"/>
            <w:noWrap/>
            <w:vAlign w:val="center"/>
            <w:hideMark/>
          </w:tcPr>
          <w:p w14:paraId="4272FA53" w14:textId="08ECDDEA"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1105" w:type="dxa"/>
            <w:shd w:val="clear" w:color="auto" w:fill="D9D9D9" w:themeFill="background1" w:themeFillShade="D9"/>
            <w:noWrap/>
            <w:vAlign w:val="center"/>
            <w:hideMark/>
          </w:tcPr>
          <w:p w14:paraId="4FFA2056"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shd w:val="clear" w:color="auto" w:fill="D9D9D9" w:themeFill="background1" w:themeFillShade="D9"/>
            <w:vAlign w:val="center"/>
          </w:tcPr>
          <w:p w14:paraId="566FB6C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444ECDD1" w14:textId="16C343CA" w:rsidTr="00CE48F1">
        <w:trPr>
          <w:trHeight w:val="405"/>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1C550AF7"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7.1</w:t>
            </w:r>
          </w:p>
        </w:tc>
        <w:tc>
          <w:tcPr>
            <w:tcW w:w="2236" w:type="dxa"/>
            <w:vAlign w:val="center"/>
            <w:hideMark/>
          </w:tcPr>
          <w:p w14:paraId="0592635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Compétence du personnel</w:t>
            </w:r>
          </w:p>
        </w:tc>
        <w:tc>
          <w:tcPr>
            <w:tcW w:w="907" w:type="dxa"/>
            <w:noWrap/>
            <w:vAlign w:val="center"/>
            <w:hideMark/>
          </w:tcPr>
          <w:p w14:paraId="5BF92677"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7.1</w:t>
            </w:r>
          </w:p>
        </w:tc>
        <w:tc>
          <w:tcPr>
            <w:tcW w:w="3828" w:type="dxa"/>
            <w:vAlign w:val="center"/>
            <w:hideMark/>
          </w:tcPr>
          <w:p w14:paraId="00458FBB"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Compétence du personnel</w:t>
            </w:r>
          </w:p>
        </w:tc>
        <w:tc>
          <w:tcPr>
            <w:tcW w:w="2608" w:type="dxa"/>
            <w:vAlign w:val="center"/>
          </w:tcPr>
          <w:p w14:paraId="027EA5ED"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07A7AD03" w14:textId="56D69E2A"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46A508C8"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5C0C53E7"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4B53350" w14:textId="5FFBB59C" w:rsidTr="00CE48F1">
        <w:trPr>
          <w:trHeight w:val="1020"/>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1E3AAE6F"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7.1.1</w:t>
            </w:r>
          </w:p>
        </w:tc>
        <w:tc>
          <w:tcPr>
            <w:tcW w:w="2236" w:type="dxa"/>
            <w:vAlign w:val="center"/>
            <w:hideMark/>
          </w:tcPr>
          <w:p w14:paraId="4C429431"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Considérations générales </w:t>
            </w:r>
          </w:p>
        </w:tc>
        <w:tc>
          <w:tcPr>
            <w:tcW w:w="907" w:type="dxa"/>
            <w:noWrap/>
            <w:vAlign w:val="center"/>
            <w:hideMark/>
          </w:tcPr>
          <w:p w14:paraId="313BFAA9"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7.1.1</w:t>
            </w:r>
          </w:p>
        </w:tc>
        <w:tc>
          <w:tcPr>
            <w:tcW w:w="3828" w:type="dxa"/>
            <w:vAlign w:val="center"/>
            <w:hideMark/>
          </w:tcPr>
          <w:p w14:paraId="650BFD95" w14:textId="309634F3"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L'exigence du chapitre 7.1.4 de l'ISO/IEC 17021-1 doit être respectée. Les fonctions de certification pour lesquelles une compétence doit être identifiée sont celles énoncées à l’Annexe C.</w:t>
            </w:r>
          </w:p>
        </w:tc>
        <w:tc>
          <w:tcPr>
            <w:tcW w:w="2608" w:type="dxa"/>
            <w:vAlign w:val="center"/>
          </w:tcPr>
          <w:p w14:paraId="3672C5A9"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180C3551" w14:textId="4FB03875"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27662564"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567302B4"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430B4850" w14:textId="153B95D9" w:rsidTr="00CE48F1">
        <w:trPr>
          <w:trHeight w:val="1290"/>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067E5091"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7.1.2</w:t>
            </w:r>
          </w:p>
        </w:tc>
        <w:tc>
          <w:tcPr>
            <w:tcW w:w="2236" w:type="dxa"/>
            <w:vAlign w:val="center"/>
            <w:hideMark/>
          </w:tcPr>
          <w:p w14:paraId="36E58F9C"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Détermination des critères de compétence :</w:t>
            </w:r>
          </w:p>
        </w:tc>
        <w:tc>
          <w:tcPr>
            <w:tcW w:w="907" w:type="dxa"/>
            <w:noWrap/>
            <w:vAlign w:val="center"/>
            <w:hideMark/>
          </w:tcPr>
          <w:p w14:paraId="1FC331B6"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7.1.2</w:t>
            </w:r>
          </w:p>
        </w:tc>
        <w:tc>
          <w:tcPr>
            <w:tcW w:w="3828" w:type="dxa"/>
            <w:vAlign w:val="center"/>
            <w:hideMark/>
          </w:tcPr>
          <w:p w14:paraId="1E56C506" w14:textId="58FC6A2A"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L’exigence du chapitre 7.1.2 de L’ISO/IEC 17021-1 :2015 doit être respectée.</w:t>
            </w:r>
            <w:r w:rsidRPr="002313F3">
              <w:rPr>
                <w:rFonts w:asciiTheme="minorHAnsi" w:hAnsiTheme="minorHAnsi" w:cstheme="minorHAnsi"/>
                <w:b/>
                <w:bCs/>
                <w:sz w:val="20"/>
              </w:rPr>
              <w:br/>
              <w:t>Les secteurs techniques doivent être définis à l’aide de l’Annexe A.</w:t>
            </w:r>
            <w:r w:rsidRPr="002313F3">
              <w:rPr>
                <w:rFonts w:asciiTheme="minorHAnsi" w:hAnsiTheme="minorHAnsi" w:cstheme="minorHAnsi"/>
                <w:b/>
                <w:bCs/>
                <w:sz w:val="20"/>
              </w:rPr>
              <w:br/>
              <w:t>Les critères de compétence de l’Annexe C, précisant les connaissances et le savoir-faire spécifiques, doivent s’appliquer.</w:t>
            </w:r>
          </w:p>
        </w:tc>
        <w:tc>
          <w:tcPr>
            <w:tcW w:w="2608" w:type="dxa"/>
            <w:vAlign w:val="center"/>
          </w:tcPr>
          <w:p w14:paraId="181EC1C2"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01D1299C" w14:textId="6C15B71D"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5036028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29F0733C"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21A92979" w14:textId="088190A1" w:rsidTr="00CE48F1">
        <w:trPr>
          <w:trHeight w:val="2460"/>
        </w:trPr>
        <w:tc>
          <w:tcPr>
            <w:cnfStyle w:val="001000000000" w:firstRow="0" w:lastRow="0" w:firstColumn="1" w:lastColumn="0" w:oddVBand="0" w:evenVBand="0" w:oddHBand="0" w:evenHBand="0" w:firstRowFirstColumn="0" w:firstRowLastColumn="0" w:lastRowFirstColumn="0" w:lastRowLastColumn="0"/>
            <w:tcW w:w="907" w:type="dxa"/>
            <w:vAlign w:val="center"/>
            <w:hideMark/>
          </w:tcPr>
          <w:p w14:paraId="22E2050C"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lastRenderedPageBreak/>
              <w:t>7.1.3</w:t>
            </w:r>
          </w:p>
        </w:tc>
        <w:tc>
          <w:tcPr>
            <w:tcW w:w="2236" w:type="dxa"/>
            <w:vAlign w:val="center"/>
            <w:hideMark/>
          </w:tcPr>
          <w:p w14:paraId="53E86AFC" w14:textId="1AB81C40"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Processus d’évaluation</w:t>
            </w:r>
          </w:p>
        </w:tc>
        <w:tc>
          <w:tcPr>
            <w:tcW w:w="907" w:type="dxa"/>
            <w:vAlign w:val="center"/>
            <w:hideMark/>
          </w:tcPr>
          <w:p w14:paraId="165D2648"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7.1.3</w:t>
            </w:r>
          </w:p>
        </w:tc>
        <w:tc>
          <w:tcPr>
            <w:tcW w:w="3828" w:type="dxa"/>
            <w:vAlign w:val="center"/>
            <w:hideMark/>
          </w:tcPr>
          <w:p w14:paraId="0E925EBE" w14:textId="3D77F5BB"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L’exigence du chapitre 7.1.3 de L’ISO/IEC 17021-</w:t>
            </w:r>
            <w:proofErr w:type="gramStart"/>
            <w:r w:rsidRPr="002313F3">
              <w:rPr>
                <w:rFonts w:asciiTheme="minorHAnsi" w:hAnsiTheme="minorHAnsi" w:cstheme="minorHAnsi"/>
                <w:b/>
                <w:bCs/>
                <w:sz w:val="20"/>
              </w:rPr>
              <w:t>1:</w:t>
            </w:r>
            <w:proofErr w:type="gramEnd"/>
            <w:r w:rsidRPr="002313F3">
              <w:rPr>
                <w:rFonts w:asciiTheme="minorHAnsi" w:hAnsiTheme="minorHAnsi" w:cstheme="minorHAnsi"/>
                <w:b/>
                <w:bCs/>
                <w:sz w:val="20"/>
              </w:rPr>
              <w:t>2015 doit être respectée.</w:t>
            </w:r>
            <w:r w:rsidRPr="002313F3">
              <w:rPr>
                <w:rFonts w:asciiTheme="minorHAnsi" w:hAnsiTheme="minorHAnsi" w:cstheme="minorHAnsi"/>
                <w:b/>
                <w:bCs/>
                <w:sz w:val="20"/>
              </w:rPr>
              <w:br/>
              <w:t>L’organisme de certification doit en particulier évaluer les connaissances de l’individu en matière de sécurité des denrées alimentaires, y compris ses connaissances des programmes prérequis (PRP) spécifiques, des dangers liés à la sécurité des denrées alimentaires et des mesures de maîtrise concernant les catégories qui entrent dans le périmètre d’action du personnel de l’organisme de certification. Ils doivent être identifiés pour les catégories relevant des exigences de 7.1.2.</w:t>
            </w:r>
            <w:r w:rsidRPr="002313F3">
              <w:rPr>
                <w:rFonts w:asciiTheme="minorHAnsi" w:hAnsiTheme="minorHAnsi" w:cstheme="minorHAnsi"/>
                <w:b/>
                <w:bCs/>
                <w:sz w:val="20"/>
              </w:rPr>
              <w:br/>
              <w:t>Les évaluateurs doivent connaître une ou plusieurs méthodes d’évaluation (voir l’ISO/IEC 17021-1 :2015, Annexe B) et démontrer leur capacité à les appliquer.</w:t>
            </w:r>
          </w:p>
        </w:tc>
        <w:tc>
          <w:tcPr>
            <w:tcW w:w="2608" w:type="dxa"/>
            <w:vAlign w:val="center"/>
          </w:tcPr>
          <w:p w14:paraId="515DEF61"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2049568C" w14:textId="6EFBEA71"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388A0330"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6D961D11"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6EF8504F" w14:textId="32E6184D" w:rsidTr="00CE48F1">
        <w:trPr>
          <w:trHeight w:val="405"/>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71A8C30C"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7.1.4</w:t>
            </w:r>
          </w:p>
        </w:tc>
        <w:tc>
          <w:tcPr>
            <w:tcW w:w="2236" w:type="dxa"/>
            <w:vAlign w:val="center"/>
            <w:hideMark/>
          </w:tcPr>
          <w:p w14:paraId="724F971F"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Autres considérations</w:t>
            </w:r>
          </w:p>
        </w:tc>
        <w:tc>
          <w:tcPr>
            <w:tcW w:w="907" w:type="dxa"/>
            <w:noWrap/>
            <w:vAlign w:val="center"/>
            <w:hideMark/>
          </w:tcPr>
          <w:p w14:paraId="72657286"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7.1.4</w:t>
            </w:r>
          </w:p>
        </w:tc>
        <w:tc>
          <w:tcPr>
            <w:tcW w:w="3828" w:type="dxa"/>
            <w:noWrap/>
            <w:vAlign w:val="center"/>
            <w:hideMark/>
          </w:tcPr>
          <w:p w14:paraId="38E77F08" w14:textId="249EA69A"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L'exigence du chapitre 7.1.4 de l'ISO/IEC 17021-1 doit être respectée.</w:t>
            </w:r>
          </w:p>
        </w:tc>
        <w:tc>
          <w:tcPr>
            <w:tcW w:w="2608" w:type="dxa"/>
            <w:vAlign w:val="center"/>
          </w:tcPr>
          <w:p w14:paraId="13585E6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24013597" w14:textId="1BB53FAC"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5D71B9F8"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403F1704"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5845DFD5" w14:textId="4F62D483" w:rsidTr="00CE48F1">
        <w:trPr>
          <w:trHeight w:val="495"/>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472DD225"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7.2</w:t>
            </w:r>
          </w:p>
        </w:tc>
        <w:tc>
          <w:tcPr>
            <w:tcW w:w="2236" w:type="dxa"/>
            <w:vAlign w:val="center"/>
            <w:hideMark/>
          </w:tcPr>
          <w:p w14:paraId="43E3C190"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Personnel intervenant dans les activités de certification</w:t>
            </w:r>
          </w:p>
        </w:tc>
        <w:tc>
          <w:tcPr>
            <w:tcW w:w="907" w:type="dxa"/>
            <w:noWrap/>
            <w:vAlign w:val="center"/>
            <w:hideMark/>
          </w:tcPr>
          <w:p w14:paraId="13858F47"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7.2</w:t>
            </w:r>
          </w:p>
        </w:tc>
        <w:tc>
          <w:tcPr>
            <w:tcW w:w="3828" w:type="dxa"/>
            <w:noWrap/>
            <w:vAlign w:val="center"/>
            <w:hideMark/>
          </w:tcPr>
          <w:p w14:paraId="05D641BB" w14:textId="0200FF32"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L'exigence du chapitre 7.2 de l'ISO/IEC 17021-1 doit être respectée.</w:t>
            </w:r>
          </w:p>
        </w:tc>
        <w:tc>
          <w:tcPr>
            <w:tcW w:w="2608" w:type="dxa"/>
            <w:vAlign w:val="center"/>
          </w:tcPr>
          <w:p w14:paraId="1B9B03F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07A4597C" w14:textId="4029B895"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4709A684"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1D7F7A30"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21219D70" w14:textId="3E7F39B0" w:rsidTr="00CE48F1">
        <w:trPr>
          <w:trHeight w:val="600"/>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0BA8CBF8"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7.3</w:t>
            </w:r>
          </w:p>
        </w:tc>
        <w:tc>
          <w:tcPr>
            <w:tcW w:w="2236" w:type="dxa"/>
            <w:vAlign w:val="center"/>
            <w:hideMark/>
          </w:tcPr>
          <w:p w14:paraId="65A5978C" w14:textId="0D7A2BB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Intervention d’auditeurs et d’experts techniques externes individuels</w:t>
            </w:r>
          </w:p>
        </w:tc>
        <w:tc>
          <w:tcPr>
            <w:tcW w:w="907" w:type="dxa"/>
            <w:noWrap/>
            <w:vAlign w:val="center"/>
            <w:hideMark/>
          </w:tcPr>
          <w:p w14:paraId="1CB3C761"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7.3</w:t>
            </w:r>
          </w:p>
        </w:tc>
        <w:tc>
          <w:tcPr>
            <w:tcW w:w="3828" w:type="dxa"/>
            <w:noWrap/>
            <w:vAlign w:val="center"/>
            <w:hideMark/>
          </w:tcPr>
          <w:p w14:paraId="37F48ED5" w14:textId="7F457AD6"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L'exigence du chapitre 7.3 de l'ISO/IEC 17021-1 doit être respectée.</w:t>
            </w:r>
          </w:p>
        </w:tc>
        <w:tc>
          <w:tcPr>
            <w:tcW w:w="2608" w:type="dxa"/>
            <w:vAlign w:val="center"/>
          </w:tcPr>
          <w:p w14:paraId="208F298C"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3C185CDE" w14:textId="24F33042"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0DAF822C"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31D4DBE5"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5E7D7138" w14:textId="4E04BA8E" w:rsidTr="00CE48F1">
        <w:trPr>
          <w:trHeight w:val="435"/>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21A1A828"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7.4</w:t>
            </w:r>
          </w:p>
        </w:tc>
        <w:tc>
          <w:tcPr>
            <w:tcW w:w="2236" w:type="dxa"/>
            <w:vAlign w:val="center"/>
            <w:hideMark/>
          </w:tcPr>
          <w:p w14:paraId="51BCD189"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Enregistrements relatifs au personnel</w:t>
            </w:r>
          </w:p>
        </w:tc>
        <w:tc>
          <w:tcPr>
            <w:tcW w:w="907" w:type="dxa"/>
            <w:noWrap/>
            <w:vAlign w:val="center"/>
            <w:hideMark/>
          </w:tcPr>
          <w:p w14:paraId="53BF47CA"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7.4</w:t>
            </w:r>
          </w:p>
        </w:tc>
        <w:tc>
          <w:tcPr>
            <w:tcW w:w="3828" w:type="dxa"/>
            <w:noWrap/>
            <w:vAlign w:val="center"/>
            <w:hideMark/>
          </w:tcPr>
          <w:p w14:paraId="6C31F41C" w14:textId="11069DE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L'exigence du chapitre 7.4 de l'ISO/IEC 17021-1 doit être respectée.</w:t>
            </w:r>
          </w:p>
        </w:tc>
        <w:tc>
          <w:tcPr>
            <w:tcW w:w="2608" w:type="dxa"/>
            <w:vAlign w:val="center"/>
          </w:tcPr>
          <w:p w14:paraId="51543F34"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536ECD4F" w14:textId="2F39A3F8"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5CC72258"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2675B5AD"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567C279F" w14:textId="0CC76A65" w:rsidTr="00CE48F1">
        <w:trPr>
          <w:trHeight w:val="465"/>
        </w:trPr>
        <w:tc>
          <w:tcPr>
            <w:cnfStyle w:val="001000000000" w:firstRow="0" w:lastRow="0" w:firstColumn="1" w:lastColumn="0" w:oddVBand="0" w:evenVBand="0" w:oddHBand="0" w:evenHBand="0" w:firstRowFirstColumn="0" w:firstRowLastColumn="0" w:lastRowFirstColumn="0" w:lastRowLastColumn="0"/>
            <w:tcW w:w="907" w:type="dxa"/>
            <w:noWrap/>
            <w:vAlign w:val="center"/>
            <w:hideMark/>
          </w:tcPr>
          <w:p w14:paraId="0D6D56BA"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lastRenderedPageBreak/>
              <w:t>7.5</w:t>
            </w:r>
          </w:p>
        </w:tc>
        <w:tc>
          <w:tcPr>
            <w:tcW w:w="2236" w:type="dxa"/>
            <w:vAlign w:val="center"/>
            <w:hideMark/>
          </w:tcPr>
          <w:p w14:paraId="36A4C7D5"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Externalisation</w:t>
            </w:r>
          </w:p>
        </w:tc>
        <w:tc>
          <w:tcPr>
            <w:tcW w:w="907" w:type="dxa"/>
            <w:noWrap/>
            <w:vAlign w:val="center"/>
            <w:hideMark/>
          </w:tcPr>
          <w:p w14:paraId="6A92FAF0"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7.5</w:t>
            </w:r>
          </w:p>
        </w:tc>
        <w:tc>
          <w:tcPr>
            <w:tcW w:w="3828" w:type="dxa"/>
            <w:noWrap/>
            <w:vAlign w:val="center"/>
            <w:hideMark/>
          </w:tcPr>
          <w:p w14:paraId="23B1AABF" w14:textId="6607B3DE"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L'exigence du chapitre 7.5 de l'ISO/IEC 17021-1 doit être respectée.</w:t>
            </w:r>
          </w:p>
        </w:tc>
        <w:tc>
          <w:tcPr>
            <w:tcW w:w="2608" w:type="dxa"/>
            <w:vAlign w:val="center"/>
          </w:tcPr>
          <w:p w14:paraId="1177D94C"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71F027E4" w14:textId="28098D20"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2537531C"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59494F2D"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7772C3" w:rsidRPr="002313F3" w14:paraId="6EA328EE" w14:textId="6C6F4ACF" w:rsidTr="00CE48F1">
        <w:trPr>
          <w:trHeight w:val="454"/>
        </w:trPr>
        <w:tc>
          <w:tcPr>
            <w:cnfStyle w:val="001000000000" w:firstRow="0" w:lastRow="0" w:firstColumn="1" w:lastColumn="0" w:oddVBand="0" w:evenVBand="0" w:oddHBand="0" w:evenHBand="0" w:firstRowFirstColumn="0" w:firstRowLastColumn="0" w:lastRowFirstColumn="0" w:lastRowLastColumn="0"/>
            <w:tcW w:w="907" w:type="dxa"/>
            <w:shd w:val="clear" w:color="auto" w:fill="D9D9D9" w:themeFill="background1" w:themeFillShade="D9"/>
            <w:noWrap/>
            <w:vAlign w:val="center"/>
            <w:hideMark/>
          </w:tcPr>
          <w:p w14:paraId="7408DF6B" w14:textId="1FAE0D77" w:rsidR="007772C3" w:rsidRPr="002313F3" w:rsidRDefault="007772C3" w:rsidP="00CE48F1">
            <w:pPr>
              <w:rPr>
                <w:rFonts w:asciiTheme="minorHAnsi" w:hAnsiTheme="minorHAnsi" w:cstheme="minorHAnsi"/>
                <w:b w:val="0"/>
                <w:bCs w:val="0"/>
                <w:sz w:val="20"/>
              </w:rPr>
            </w:pPr>
            <w:r w:rsidRPr="002313F3">
              <w:rPr>
                <w:rFonts w:asciiTheme="minorHAnsi" w:hAnsiTheme="minorHAnsi" w:cstheme="minorHAnsi"/>
                <w:sz w:val="20"/>
              </w:rPr>
              <w:t>8</w:t>
            </w:r>
          </w:p>
        </w:tc>
        <w:tc>
          <w:tcPr>
            <w:tcW w:w="2236" w:type="dxa"/>
            <w:shd w:val="clear" w:color="auto" w:fill="D9D9D9" w:themeFill="background1" w:themeFillShade="D9"/>
            <w:vAlign w:val="center"/>
          </w:tcPr>
          <w:p w14:paraId="6B9A34F5" w14:textId="44C458C8" w:rsidR="007772C3" w:rsidRPr="002313F3" w:rsidRDefault="007772C3"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Exigences relatives aux informations</w:t>
            </w:r>
          </w:p>
        </w:tc>
        <w:tc>
          <w:tcPr>
            <w:tcW w:w="907" w:type="dxa"/>
            <w:shd w:val="clear" w:color="auto" w:fill="D9D9D9" w:themeFill="background1" w:themeFillShade="D9"/>
            <w:vAlign w:val="center"/>
          </w:tcPr>
          <w:p w14:paraId="2AFD8761" w14:textId="73475E07" w:rsidR="007772C3" w:rsidRPr="002313F3" w:rsidRDefault="007772C3"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8</w:t>
            </w:r>
          </w:p>
        </w:tc>
        <w:tc>
          <w:tcPr>
            <w:tcW w:w="3828" w:type="dxa"/>
            <w:shd w:val="clear" w:color="auto" w:fill="D9D9D9" w:themeFill="background1" w:themeFillShade="D9"/>
            <w:vAlign w:val="center"/>
          </w:tcPr>
          <w:p w14:paraId="733C863E" w14:textId="2420881C" w:rsidR="007772C3" w:rsidRPr="002313F3" w:rsidRDefault="007772C3"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Exigences relatives aux informations</w:t>
            </w:r>
          </w:p>
        </w:tc>
        <w:tc>
          <w:tcPr>
            <w:tcW w:w="7937" w:type="dxa"/>
            <w:gridSpan w:val="4"/>
            <w:shd w:val="clear" w:color="auto" w:fill="D9D9D9" w:themeFill="background1" w:themeFillShade="D9"/>
            <w:vAlign w:val="center"/>
          </w:tcPr>
          <w:p w14:paraId="0495E2C3" w14:textId="70A60FCA" w:rsidR="007772C3" w:rsidRPr="002313F3" w:rsidRDefault="007772C3"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r>
      <w:tr w:rsidR="00CE48F1" w:rsidRPr="002313F3" w14:paraId="5B521C56" w14:textId="0528F430" w:rsidTr="00CE48F1">
        <w:trPr>
          <w:trHeight w:val="915"/>
        </w:trPr>
        <w:tc>
          <w:tcPr>
            <w:cnfStyle w:val="001000000000" w:firstRow="0" w:lastRow="0" w:firstColumn="1" w:lastColumn="0" w:oddVBand="0" w:evenVBand="0" w:oddHBand="0" w:evenHBand="0" w:firstRowFirstColumn="0" w:firstRowLastColumn="0" w:lastRowFirstColumn="0" w:lastRowLastColumn="0"/>
            <w:tcW w:w="907" w:type="dxa"/>
            <w:vAlign w:val="center"/>
            <w:hideMark/>
          </w:tcPr>
          <w:p w14:paraId="046612E6"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8.1</w:t>
            </w:r>
          </w:p>
        </w:tc>
        <w:tc>
          <w:tcPr>
            <w:tcW w:w="2236" w:type="dxa"/>
            <w:vAlign w:val="center"/>
            <w:hideMark/>
          </w:tcPr>
          <w:p w14:paraId="5AEFAC56" w14:textId="2AE48595"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Informations publiques</w:t>
            </w:r>
          </w:p>
        </w:tc>
        <w:tc>
          <w:tcPr>
            <w:tcW w:w="907" w:type="dxa"/>
            <w:vAlign w:val="center"/>
            <w:hideMark/>
          </w:tcPr>
          <w:p w14:paraId="37B35495"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8.1</w:t>
            </w:r>
          </w:p>
        </w:tc>
        <w:tc>
          <w:tcPr>
            <w:tcW w:w="3828" w:type="dxa"/>
            <w:vAlign w:val="center"/>
            <w:hideMark/>
          </w:tcPr>
          <w:p w14:paraId="75C09CD6" w14:textId="0DC0F525"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L’ISO/IEC 17021-1 :2015, Article 8, doit être respectée à l’exception des paragraphes amendés 8.2,</w:t>
            </w:r>
            <w:r>
              <w:rPr>
                <w:rFonts w:asciiTheme="minorHAnsi" w:hAnsiTheme="minorHAnsi" w:cstheme="minorHAnsi"/>
                <w:b/>
                <w:bCs/>
                <w:sz w:val="20"/>
              </w:rPr>
              <w:t xml:space="preserve"> </w:t>
            </w:r>
            <w:r w:rsidRPr="002313F3">
              <w:rPr>
                <w:rFonts w:asciiTheme="minorHAnsi" w:hAnsiTheme="minorHAnsi" w:cstheme="minorHAnsi"/>
                <w:b/>
                <w:bCs/>
                <w:sz w:val="20"/>
              </w:rPr>
              <w:t xml:space="preserve">8.3 et 8.4. </w:t>
            </w:r>
          </w:p>
        </w:tc>
        <w:tc>
          <w:tcPr>
            <w:tcW w:w="2608" w:type="dxa"/>
            <w:vAlign w:val="center"/>
          </w:tcPr>
          <w:p w14:paraId="06B8C265"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794DAD3B" w14:textId="5FD4EDEF"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33FBBB6D"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0F2C8266"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2B477A52" w14:textId="399335EF" w:rsidTr="00CE48F1">
        <w:trPr>
          <w:trHeight w:val="600"/>
        </w:trPr>
        <w:tc>
          <w:tcPr>
            <w:cnfStyle w:val="001000000000" w:firstRow="0" w:lastRow="0" w:firstColumn="1" w:lastColumn="0" w:oddVBand="0" w:evenVBand="0" w:oddHBand="0" w:evenHBand="0" w:firstRowFirstColumn="0" w:firstRowLastColumn="0" w:lastRowFirstColumn="0" w:lastRowLastColumn="0"/>
            <w:tcW w:w="907" w:type="dxa"/>
            <w:vAlign w:val="center"/>
            <w:hideMark/>
          </w:tcPr>
          <w:p w14:paraId="781603FA"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8.2</w:t>
            </w:r>
          </w:p>
        </w:tc>
        <w:tc>
          <w:tcPr>
            <w:tcW w:w="2236" w:type="dxa"/>
            <w:vAlign w:val="center"/>
            <w:hideMark/>
          </w:tcPr>
          <w:p w14:paraId="7FA38DDF" w14:textId="200CECC8"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Documents de certification</w:t>
            </w:r>
          </w:p>
        </w:tc>
        <w:tc>
          <w:tcPr>
            <w:tcW w:w="907" w:type="dxa"/>
            <w:vAlign w:val="center"/>
            <w:hideMark/>
          </w:tcPr>
          <w:p w14:paraId="40868E2F"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8.2</w:t>
            </w:r>
          </w:p>
        </w:tc>
        <w:tc>
          <w:tcPr>
            <w:tcW w:w="3828" w:type="dxa"/>
            <w:vAlign w:val="center"/>
            <w:hideMark/>
          </w:tcPr>
          <w:p w14:paraId="050989C1" w14:textId="42057788"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Les documents de certification doivent identifier en détail les catégories et sous-catégories</w:t>
            </w:r>
            <w:r w:rsidR="00FA6CCF">
              <w:rPr>
                <w:rFonts w:asciiTheme="minorHAnsi" w:hAnsiTheme="minorHAnsi" w:cstheme="minorHAnsi"/>
                <w:b/>
                <w:bCs/>
                <w:sz w:val="20"/>
              </w:rPr>
              <w:t xml:space="preserve"> </w:t>
            </w:r>
            <w:r w:rsidRPr="002313F3">
              <w:rPr>
                <w:rFonts w:asciiTheme="minorHAnsi" w:hAnsiTheme="minorHAnsi" w:cstheme="minorHAnsi"/>
                <w:b/>
                <w:bCs/>
                <w:sz w:val="20"/>
              </w:rPr>
              <w:t>présentées dans le Tableau A.1 auxquelles le SMSDA s’applique.</w:t>
            </w:r>
          </w:p>
        </w:tc>
        <w:tc>
          <w:tcPr>
            <w:tcW w:w="2608" w:type="dxa"/>
            <w:vAlign w:val="center"/>
          </w:tcPr>
          <w:p w14:paraId="0083A737"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59F65B12" w14:textId="790644A0"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5B10B6F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5F88D21C"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0325FA3D" w14:textId="1EF17688" w:rsidTr="00CE48F1">
        <w:trPr>
          <w:trHeight w:val="615"/>
        </w:trPr>
        <w:tc>
          <w:tcPr>
            <w:cnfStyle w:val="001000000000" w:firstRow="0" w:lastRow="0" w:firstColumn="1" w:lastColumn="0" w:oddVBand="0" w:evenVBand="0" w:oddHBand="0" w:evenHBand="0" w:firstRowFirstColumn="0" w:firstRowLastColumn="0" w:lastRowFirstColumn="0" w:lastRowLastColumn="0"/>
            <w:tcW w:w="907" w:type="dxa"/>
            <w:vAlign w:val="center"/>
            <w:hideMark/>
          </w:tcPr>
          <w:p w14:paraId="702C60CC"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8.3</w:t>
            </w:r>
          </w:p>
        </w:tc>
        <w:tc>
          <w:tcPr>
            <w:tcW w:w="2236" w:type="dxa"/>
            <w:vAlign w:val="center"/>
            <w:hideMark/>
          </w:tcPr>
          <w:p w14:paraId="718A571C" w14:textId="4299C44F"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Référence à la certification et utilisation des marques. </w:t>
            </w:r>
          </w:p>
        </w:tc>
        <w:tc>
          <w:tcPr>
            <w:tcW w:w="907" w:type="dxa"/>
            <w:vAlign w:val="center"/>
            <w:hideMark/>
          </w:tcPr>
          <w:p w14:paraId="633CC7AE"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8.3</w:t>
            </w:r>
          </w:p>
        </w:tc>
        <w:tc>
          <w:tcPr>
            <w:tcW w:w="3828" w:type="dxa"/>
            <w:vAlign w:val="center"/>
            <w:hideMark/>
          </w:tcPr>
          <w:p w14:paraId="2DC53774" w14:textId="6EC8F0B3"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Un organisme de certification ne doit pas autoriser l’utilisation de la marque de certification</w:t>
            </w:r>
            <w:r w:rsidR="00FA6CCF">
              <w:rPr>
                <w:rFonts w:asciiTheme="minorHAnsi" w:hAnsiTheme="minorHAnsi" w:cstheme="minorHAnsi"/>
                <w:b/>
                <w:bCs/>
                <w:sz w:val="20"/>
              </w:rPr>
              <w:t xml:space="preserve"> </w:t>
            </w:r>
            <w:r w:rsidRPr="002313F3">
              <w:rPr>
                <w:rFonts w:asciiTheme="minorHAnsi" w:hAnsiTheme="minorHAnsi" w:cstheme="minorHAnsi"/>
                <w:b/>
                <w:bCs/>
                <w:sz w:val="20"/>
              </w:rPr>
              <w:t>du SMSDA sur le produit ou l’emballage du produit. Dans le contexte du présent document, l’emballage</w:t>
            </w:r>
            <w:r w:rsidR="00FA6CCF">
              <w:rPr>
                <w:rFonts w:asciiTheme="minorHAnsi" w:hAnsiTheme="minorHAnsi" w:cstheme="minorHAnsi"/>
                <w:b/>
                <w:bCs/>
                <w:sz w:val="20"/>
              </w:rPr>
              <w:t xml:space="preserve"> </w:t>
            </w:r>
            <w:r w:rsidRPr="002313F3">
              <w:rPr>
                <w:rFonts w:asciiTheme="minorHAnsi" w:hAnsiTheme="minorHAnsi" w:cstheme="minorHAnsi"/>
                <w:b/>
                <w:bCs/>
                <w:sz w:val="20"/>
              </w:rPr>
              <w:t>du produit auquel il est fait référence dans l’ISO/IEC 17021-</w:t>
            </w:r>
            <w:proofErr w:type="gramStart"/>
            <w:r w:rsidRPr="002313F3">
              <w:rPr>
                <w:rFonts w:asciiTheme="minorHAnsi" w:hAnsiTheme="minorHAnsi" w:cstheme="minorHAnsi"/>
                <w:b/>
                <w:bCs/>
                <w:sz w:val="20"/>
              </w:rPr>
              <w:t>1:</w:t>
            </w:r>
            <w:proofErr w:type="gramEnd"/>
            <w:r w:rsidRPr="002313F3">
              <w:rPr>
                <w:rFonts w:asciiTheme="minorHAnsi" w:hAnsiTheme="minorHAnsi" w:cstheme="minorHAnsi"/>
                <w:b/>
                <w:bCs/>
                <w:sz w:val="20"/>
              </w:rPr>
              <w:t>2015, 8.3, doit couvrir tous les emballages</w:t>
            </w:r>
            <w:r w:rsidR="00FA6CCF">
              <w:rPr>
                <w:rFonts w:asciiTheme="minorHAnsi" w:hAnsiTheme="minorHAnsi" w:cstheme="minorHAnsi"/>
                <w:b/>
                <w:bCs/>
                <w:sz w:val="20"/>
              </w:rPr>
              <w:t xml:space="preserve"> </w:t>
            </w:r>
            <w:r w:rsidRPr="002313F3">
              <w:rPr>
                <w:rFonts w:asciiTheme="minorHAnsi" w:hAnsiTheme="minorHAnsi" w:cstheme="minorHAnsi"/>
                <w:b/>
                <w:bCs/>
                <w:sz w:val="20"/>
              </w:rPr>
              <w:t>du produit, aussi bien l’emballage primaire (qui contient le produit) que tout emballage extérieur</w:t>
            </w:r>
            <w:r w:rsidR="00FA6CCF">
              <w:rPr>
                <w:rFonts w:asciiTheme="minorHAnsi" w:hAnsiTheme="minorHAnsi" w:cstheme="minorHAnsi"/>
                <w:b/>
                <w:bCs/>
                <w:sz w:val="20"/>
              </w:rPr>
              <w:t xml:space="preserve"> </w:t>
            </w:r>
            <w:r w:rsidRPr="002313F3">
              <w:rPr>
                <w:rFonts w:asciiTheme="minorHAnsi" w:hAnsiTheme="minorHAnsi" w:cstheme="minorHAnsi"/>
                <w:b/>
                <w:bCs/>
                <w:sz w:val="20"/>
              </w:rPr>
              <w:t>ou secondaire.</w:t>
            </w:r>
          </w:p>
        </w:tc>
        <w:tc>
          <w:tcPr>
            <w:tcW w:w="2608" w:type="dxa"/>
            <w:vAlign w:val="center"/>
          </w:tcPr>
          <w:p w14:paraId="3D772537"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01ED1D6F" w14:textId="55B28A79"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008ED8F6"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305D0AA3"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41C9BCB2" w14:textId="7C6DD0C6" w:rsidTr="00CE48F1">
        <w:trPr>
          <w:trHeight w:val="419"/>
        </w:trPr>
        <w:tc>
          <w:tcPr>
            <w:cnfStyle w:val="001000000000" w:firstRow="0" w:lastRow="0" w:firstColumn="1" w:lastColumn="0" w:oddVBand="0" w:evenVBand="0" w:oddHBand="0" w:evenHBand="0" w:firstRowFirstColumn="0" w:firstRowLastColumn="0" w:lastRowFirstColumn="0" w:lastRowLastColumn="0"/>
            <w:tcW w:w="907" w:type="dxa"/>
            <w:vAlign w:val="center"/>
            <w:hideMark/>
          </w:tcPr>
          <w:p w14:paraId="62FDA85B"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t>8.4</w:t>
            </w:r>
          </w:p>
        </w:tc>
        <w:tc>
          <w:tcPr>
            <w:tcW w:w="2236" w:type="dxa"/>
            <w:vAlign w:val="center"/>
            <w:hideMark/>
          </w:tcPr>
          <w:p w14:paraId="38308C9A" w14:textId="5DA42D3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Confidentialité</w:t>
            </w:r>
          </w:p>
        </w:tc>
        <w:tc>
          <w:tcPr>
            <w:tcW w:w="907" w:type="dxa"/>
            <w:vAlign w:val="center"/>
            <w:hideMark/>
          </w:tcPr>
          <w:p w14:paraId="398EAEF6"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8.4</w:t>
            </w:r>
          </w:p>
        </w:tc>
        <w:tc>
          <w:tcPr>
            <w:tcW w:w="3828" w:type="dxa"/>
            <w:vAlign w:val="center"/>
            <w:hideMark/>
          </w:tcPr>
          <w:p w14:paraId="31DAE3FE" w14:textId="5921FEFE"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Un organisme de certification ne doit pas autoriser l’utilisation d’une mention sur l’emballage</w:t>
            </w:r>
            <w:r w:rsidR="00FA6CCF">
              <w:rPr>
                <w:rFonts w:asciiTheme="minorHAnsi" w:hAnsiTheme="minorHAnsi" w:cstheme="minorHAnsi"/>
                <w:b/>
                <w:bCs/>
                <w:sz w:val="20"/>
              </w:rPr>
              <w:t xml:space="preserve"> </w:t>
            </w:r>
            <w:r w:rsidRPr="002313F3">
              <w:rPr>
                <w:rFonts w:asciiTheme="minorHAnsi" w:hAnsiTheme="minorHAnsi" w:cstheme="minorHAnsi"/>
                <w:b/>
                <w:bCs/>
                <w:sz w:val="20"/>
              </w:rPr>
              <w:t>du produit indiquant que le client dispose d’un SMSDA certifié. Cela concerne tous les emballages</w:t>
            </w:r>
            <w:r w:rsidR="00FA6CCF">
              <w:rPr>
                <w:rFonts w:asciiTheme="minorHAnsi" w:hAnsiTheme="minorHAnsi" w:cstheme="minorHAnsi"/>
                <w:b/>
                <w:bCs/>
                <w:sz w:val="20"/>
              </w:rPr>
              <w:t xml:space="preserve"> </w:t>
            </w:r>
            <w:r w:rsidRPr="002313F3">
              <w:rPr>
                <w:rFonts w:asciiTheme="minorHAnsi" w:hAnsiTheme="minorHAnsi" w:cstheme="minorHAnsi"/>
                <w:b/>
                <w:bCs/>
                <w:sz w:val="20"/>
              </w:rPr>
              <w:t>du produit, tant l’emballage primaire (qui contient le produit) que tout emballage extérieur ou</w:t>
            </w:r>
            <w:r w:rsidR="00E27FE0">
              <w:rPr>
                <w:rFonts w:asciiTheme="minorHAnsi" w:hAnsiTheme="minorHAnsi" w:cstheme="minorHAnsi"/>
                <w:b/>
                <w:bCs/>
                <w:sz w:val="20"/>
              </w:rPr>
              <w:t xml:space="preserve"> </w:t>
            </w:r>
            <w:r w:rsidRPr="002313F3">
              <w:rPr>
                <w:rFonts w:asciiTheme="minorHAnsi" w:hAnsiTheme="minorHAnsi" w:cstheme="minorHAnsi"/>
                <w:b/>
                <w:bCs/>
                <w:sz w:val="20"/>
              </w:rPr>
              <w:t>secondaire.</w:t>
            </w:r>
          </w:p>
        </w:tc>
        <w:tc>
          <w:tcPr>
            <w:tcW w:w="2608" w:type="dxa"/>
            <w:vAlign w:val="center"/>
          </w:tcPr>
          <w:p w14:paraId="67814D6F"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35694BD5" w14:textId="1EDB8B72"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238F0BF0"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1BEF39A9"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0A04F831" w14:textId="4383DA71" w:rsidTr="00CE48F1">
        <w:trPr>
          <w:trHeight w:val="600"/>
        </w:trPr>
        <w:tc>
          <w:tcPr>
            <w:cnfStyle w:val="001000000000" w:firstRow="0" w:lastRow="0" w:firstColumn="1" w:lastColumn="0" w:oddVBand="0" w:evenVBand="0" w:oddHBand="0" w:evenHBand="0" w:firstRowFirstColumn="0" w:firstRowLastColumn="0" w:lastRowFirstColumn="0" w:lastRowLastColumn="0"/>
            <w:tcW w:w="907" w:type="dxa"/>
            <w:vAlign w:val="center"/>
            <w:hideMark/>
          </w:tcPr>
          <w:p w14:paraId="7358CF94" w14:textId="77777777" w:rsidR="005B5870" w:rsidRPr="002313F3" w:rsidRDefault="005B5870" w:rsidP="00CE48F1">
            <w:pPr>
              <w:rPr>
                <w:rFonts w:asciiTheme="minorHAnsi" w:hAnsiTheme="minorHAnsi" w:cstheme="minorHAnsi"/>
                <w:b w:val="0"/>
                <w:bCs w:val="0"/>
                <w:sz w:val="20"/>
              </w:rPr>
            </w:pPr>
            <w:r w:rsidRPr="002313F3">
              <w:rPr>
                <w:rFonts w:asciiTheme="minorHAnsi" w:hAnsiTheme="minorHAnsi" w:cstheme="minorHAnsi"/>
                <w:sz w:val="20"/>
              </w:rPr>
              <w:lastRenderedPageBreak/>
              <w:t>8.5</w:t>
            </w:r>
          </w:p>
        </w:tc>
        <w:tc>
          <w:tcPr>
            <w:tcW w:w="2236" w:type="dxa"/>
            <w:vAlign w:val="center"/>
            <w:hideMark/>
          </w:tcPr>
          <w:p w14:paraId="31205594"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Échange d’informations entre l’organisme de certification et ses clients</w:t>
            </w:r>
          </w:p>
        </w:tc>
        <w:tc>
          <w:tcPr>
            <w:tcW w:w="907" w:type="dxa"/>
            <w:vAlign w:val="center"/>
            <w:hideMark/>
          </w:tcPr>
          <w:p w14:paraId="407FEF80"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8.5</w:t>
            </w:r>
          </w:p>
        </w:tc>
        <w:tc>
          <w:tcPr>
            <w:tcW w:w="3828" w:type="dxa"/>
            <w:vAlign w:val="center"/>
            <w:hideMark/>
          </w:tcPr>
          <w:p w14:paraId="0713C816" w14:textId="6F998034"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L'exigence du chapitre 8.5 de l'ISO/IEC 17021-1 doit être respectée.</w:t>
            </w:r>
          </w:p>
        </w:tc>
        <w:tc>
          <w:tcPr>
            <w:tcW w:w="2608" w:type="dxa"/>
            <w:vAlign w:val="center"/>
          </w:tcPr>
          <w:p w14:paraId="03DFEECD"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1CEFAB84" w14:textId="66847DEE"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3193B148"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345FF6EB" w14:textId="77777777" w:rsidR="005B5870" w:rsidRPr="002313F3" w:rsidRDefault="005B587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E27FE0" w:rsidRPr="002313F3" w14:paraId="143D3279" w14:textId="77777777" w:rsidTr="00CE48F1">
        <w:trPr>
          <w:trHeight w:val="340"/>
        </w:trPr>
        <w:tc>
          <w:tcPr>
            <w:cnfStyle w:val="001000000000" w:firstRow="0" w:lastRow="0" w:firstColumn="1" w:lastColumn="0" w:oddVBand="0" w:evenVBand="0" w:oddHBand="0" w:evenHBand="0" w:firstRowFirstColumn="0" w:firstRowLastColumn="0" w:lastRowFirstColumn="0" w:lastRowLastColumn="0"/>
            <w:tcW w:w="907" w:type="dxa"/>
            <w:shd w:val="clear" w:color="auto" w:fill="D9D9D9" w:themeFill="background1" w:themeFillShade="D9"/>
            <w:vAlign w:val="center"/>
          </w:tcPr>
          <w:p w14:paraId="667A0281" w14:textId="5F6EC5A0"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w:t>
            </w:r>
          </w:p>
        </w:tc>
        <w:tc>
          <w:tcPr>
            <w:tcW w:w="2236" w:type="dxa"/>
            <w:shd w:val="clear" w:color="auto" w:fill="D9D9D9" w:themeFill="background1" w:themeFillShade="D9"/>
            <w:vAlign w:val="center"/>
          </w:tcPr>
          <w:p w14:paraId="71BEF7E9" w14:textId="37A0858F"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Exigences relatives aux processus</w:t>
            </w:r>
          </w:p>
        </w:tc>
        <w:tc>
          <w:tcPr>
            <w:tcW w:w="907" w:type="dxa"/>
            <w:shd w:val="clear" w:color="auto" w:fill="D9D9D9" w:themeFill="background1" w:themeFillShade="D9"/>
            <w:vAlign w:val="center"/>
          </w:tcPr>
          <w:p w14:paraId="463998CF" w14:textId="24309126"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w:t>
            </w:r>
          </w:p>
        </w:tc>
        <w:tc>
          <w:tcPr>
            <w:tcW w:w="3828" w:type="dxa"/>
            <w:shd w:val="clear" w:color="auto" w:fill="D9D9D9" w:themeFill="background1" w:themeFillShade="D9"/>
            <w:vAlign w:val="center"/>
          </w:tcPr>
          <w:p w14:paraId="2AA81E15" w14:textId="763D1C3E"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Exigences relatives aux processus</w:t>
            </w:r>
          </w:p>
        </w:tc>
        <w:tc>
          <w:tcPr>
            <w:tcW w:w="7937" w:type="dxa"/>
            <w:gridSpan w:val="4"/>
            <w:shd w:val="clear" w:color="auto" w:fill="D9D9D9" w:themeFill="background1" w:themeFillShade="D9"/>
            <w:vAlign w:val="center"/>
          </w:tcPr>
          <w:p w14:paraId="5A23388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8BC19E4" w14:textId="232EA74F" w:rsidTr="00CE48F1">
        <w:trPr>
          <w:trHeight w:val="435"/>
        </w:trPr>
        <w:tc>
          <w:tcPr>
            <w:cnfStyle w:val="001000000000" w:firstRow="0" w:lastRow="0" w:firstColumn="1" w:lastColumn="0" w:oddVBand="0" w:evenVBand="0" w:oddHBand="0" w:evenHBand="0" w:firstRowFirstColumn="0" w:firstRowLastColumn="0" w:lastRowFirstColumn="0" w:lastRowLastColumn="0"/>
            <w:tcW w:w="907" w:type="dxa"/>
            <w:vAlign w:val="center"/>
            <w:hideMark/>
          </w:tcPr>
          <w:p w14:paraId="37583C1F"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9.1</w:t>
            </w:r>
          </w:p>
        </w:tc>
        <w:tc>
          <w:tcPr>
            <w:tcW w:w="2236" w:type="dxa"/>
            <w:vAlign w:val="center"/>
            <w:hideMark/>
          </w:tcPr>
          <w:p w14:paraId="4F074B4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Activités préalables à la certification</w:t>
            </w:r>
          </w:p>
        </w:tc>
        <w:tc>
          <w:tcPr>
            <w:tcW w:w="907" w:type="dxa"/>
            <w:vAlign w:val="center"/>
            <w:hideMark/>
          </w:tcPr>
          <w:p w14:paraId="65DEB5D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w:t>
            </w:r>
          </w:p>
        </w:tc>
        <w:tc>
          <w:tcPr>
            <w:tcW w:w="3828" w:type="dxa"/>
            <w:vAlign w:val="center"/>
            <w:hideMark/>
          </w:tcPr>
          <w:p w14:paraId="2BF38A1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Activités préalables à la certification</w:t>
            </w:r>
          </w:p>
        </w:tc>
        <w:tc>
          <w:tcPr>
            <w:tcW w:w="2608" w:type="dxa"/>
            <w:vAlign w:val="center"/>
          </w:tcPr>
          <w:p w14:paraId="6F4FD8F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3904A384" w14:textId="4F5E4A29"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0201C3A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4FD5484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24868B81" w14:textId="4442D00B" w:rsidTr="00CE48F1">
        <w:trPr>
          <w:trHeight w:val="1050"/>
        </w:trPr>
        <w:tc>
          <w:tcPr>
            <w:cnfStyle w:val="001000000000" w:firstRow="0" w:lastRow="0" w:firstColumn="1" w:lastColumn="0" w:oddVBand="0" w:evenVBand="0" w:oddHBand="0" w:evenHBand="0" w:firstRowFirstColumn="0" w:firstRowLastColumn="0" w:lastRowFirstColumn="0" w:lastRowLastColumn="0"/>
            <w:tcW w:w="907" w:type="dxa"/>
            <w:vAlign w:val="center"/>
            <w:hideMark/>
          </w:tcPr>
          <w:p w14:paraId="0339FE1A"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9.1.1</w:t>
            </w:r>
          </w:p>
        </w:tc>
        <w:tc>
          <w:tcPr>
            <w:tcW w:w="2236" w:type="dxa"/>
            <w:vAlign w:val="center"/>
            <w:hideMark/>
          </w:tcPr>
          <w:p w14:paraId="62D5CD6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Demande de certification </w:t>
            </w:r>
          </w:p>
        </w:tc>
        <w:tc>
          <w:tcPr>
            <w:tcW w:w="907" w:type="dxa"/>
            <w:vAlign w:val="center"/>
            <w:hideMark/>
          </w:tcPr>
          <w:p w14:paraId="3F3533A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9.1.1</w:t>
            </w:r>
          </w:p>
        </w:tc>
        <w:tc>
          <w:tcPr>
            <w:tcW w:w="3828" w:type="dxa"/>
            <w:vAlign w:val="center"/>
            <w:hideMark/>
          </w:tcPr>
          <w:p w14:paraId="770C1CC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L’ISO/IEC 17021-</w:t>
            </w:r>
            <w:proofErr w:type="gramStart"/>
            <w:r w:rsidRPr="002313F3">
              <w:rPr>
                <w:rFonts w:asciiTheme="minorHAnsi" w:hAnsiTheme="minorHAnsi" w:cstheme="minorHAnsi"/>
                <w:b/>
                <w:bCs/>
                <w:sz w:val="20"/>
              </w:rPr>
              <w:t>1:</w:t>
            </w:r>
            <w:proofErr w:type="gramEnd"/>
            <w:r w:rsidRPr="002313F3">
              <w:rPr>
                <w:rFonts w:asciiTheme="minorHAnsi" w:hAnsiTheme="minorHAnsi" w:cstheme="minorHAnsi"/>
                <w:b/>
                <w:bCs/>
                <w:sz w:val="20"/>
              </w:rPr>
              <w:t>2015, 9.1.1, doit être respectée.</w:t>
            </w:r>
            <w:r w:rsidRPr="002313F3">
              <w:rPr>
                <w:rFonts w:asciiTheme="minorHAnsi" w:hAnsiTheme="minorHAnsi" w:cstheme="minorHAnsi"/>
                <w:b/>
                <w:bCs/>
                <w:sz w:val="20"/>
              </w:rPr>
              <w:br/>
              <w:t>L’organisme de certification doit exiger de l’organisation candidate qu’elle fournisse des informations utiles relatives aux produits et aux procédés, pour la détermination de la durée de l’audit, conformément aux Annexes A et B.</w:t>
            </w:r>
          </w:p>
        </w:tc>
        <w:tc>
          <w:tcPr>
            <w:tcW w:w="2608" w:type="dxa"/>
            <w:vAlign w:val="center"/>
          </w:tcPr>
          <w:p w14:paraId="401FC80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26B81F10" w14:textId="65426B6B"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008C618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5234005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D973128" w14:textId="2FFD5130" w:rsidTr="00CE48F1">
        <w:trPr>
          <w:trHeight w:val="454"/>
        </w:trPr>
        <w:tc>
          <w:tcPr>
            <w:cnfStyle w:val="001000000000" w:firstRow="0" w:lastRow="0" w:firstColumn="1" w:lastColumn="0" w:oddVBand="0" w:evenVBand="0" w:oddHBand="0" w:evenHBand="0" w:firstRowFirstColumn="0" w:firstRowLastColumn="0" w:lastRowFirstColumn="0" w:lastRowLastColumn="0"/>
            <w:tcW w:w="907" w:type="dxa"/>
            <w:vAlign w:val="center"/>
            <w:hideMark/>
          </w:tcPr>
          <w:p w14:paraId="58A29952"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9.1.2</w:t>
            </w:r>
          </w:p>
        </w:tc>
        <w:tc>
          <w:tcPr>
            <w:tcW w:w="2236" w:type="dxa"/>
            <w:vAlign w:val="center"/>
            <w:hideMark/>
          </w:tcPr>
          <w:p w14:paraId="70E0D2B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Revue de la demande</w:t>
            </w:r>
          </w:p>
        </w:tc>
        <w:tc>
          <w:tcPr>
            <w:tcW w:w="907" w:type="dxa"/>
            <w:vAlign w:val="center"/>
            <w:hideMark/>
          </w:tcPr>
          <w:p w14:paraId="7C018D0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9.1.2</w:t>
            </w:r>
          </w:p>
        </w:tc>
        <w:tc>
          <w:tcPr>
            <w:tcW w:w="3828" w:type="dxa"/>
            <w:vAlign w:val="center"/>
            <w:hideMark/>
          </w:tcPr>
          <w:p w14:paraId="628D173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Revue de la demande</w:t>
            </w:r>
          </w:p>
        </w:tc>
        <w:tc>
          <w:tcPr>
            <w:tcW w:w="2608" w:type="dxa"/>
            <w:vAlign w:val="center"/>
          </w:tcPr>
          <w:p w14:paraId="64ABC19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59C1988A" w14:textId="1E48A9EE"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7305B90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24205A8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248BBCDA" w14:textId="083DE0D0" w:rsidTr="00CE48F1">
        <w:trPr>
          <w:trHeight w:val="561"/>
        </w:trPr>
        <w:tc>
          <w:tcPr>
            <w:cnfStyle w:val="001000000000" w:firstRow="0" w:lastRow="0" w:firstColumn="1" w:lastColumn="0" w:oddVBand="0" w:evenVBand="0" w:oddHBand="0" w:evenHBand="0" w:firstRowFirstColumn="0" w:firstRowLastColumn="0" w:lastRowFirstColumn="0" w:lastRowLastColumn="0"/>
            <w:tcW w:w="907" w:type="dxa"/>
            <w:vAlign w:val="center"/>
            <w:hideMark/>
          </w:tcPr>
          <w:p w14:paraId="6C45A49E"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9.1.2.2</w:t>
            </w:r>
          </w:p>
        </w:tc>
        <w:tc>
          <w:tcPr>
            <w:tcW w:w="2236" w:type="dxa"/>
            <w:vAlign w:val="center"/>
            <w:hideMark/>
          </w:tcPr>
          <w:p w14:paraId="46C9407A" w14:textId="5D65BD0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Suite à la revue de la demande, l’organisme de certification doit soit accepter, soit refuser la</w:t>
            </w:r>
            <w:r>
              <w:rPr>
                <w:rFonts w:asciiTheme="minorHAnsi" w:hAnsiTheme="minorHAnsi" w:cstheme="minorHAnsi"/>
                <w:b/>
                <w:bCs/>
                <w:sz w:val="20"/>
              </w:rPr>
              <w:t xml:space="preserve"> </w:t>
            </w:r>
            <w:r w:rsidRPr="002313F3">
              <w:rPr>
                <w:rFonts w:asciiTheme="minorHAnsi" w:hAnsiTheme="minorHAnsi" w:cstheme="minorHAnsi"/>
                <w:b/>
                <w:bCs/>
                <w:sz w:val="20"/>
              </w:rPr>
              <w:t>demande de certification. Lorsque l’organisme de certification refuse une demande de certification suite</w:t>
            </w:r>
            <w:r>
              <w:rPr>
                <w:rFonts w:asciiTheme="minorHAnsi" w:hAnsiTheme="minorHAnsi" w:cstheme="minorHAnsi"/>
                <w:b/>
                <w:bCs/>
                <w:sz w:val="20"/>
              </w:rPr>
              <w:t xml:space="preserve"> </w:t>
            </w:r>
            <w:r w:rsidRPr="002313F3">
              <w:rPr>
                <w:rFonts w:asciiTheme="minorHAnsi" w:hAnsiTheme="minorHAnsi" w:cstheme="minorHAnsi"/>
                <w:b/>
                <w:bCs/>
                <w:sz w:val="20"/>
              </w:rPr>
              <w:t xml:space="preserve">à la revue de la demande, il doit documenter les raisons de son refus et </w:t>
            </w:r>
            <w:r w:rsidRPr="002313F3">
              <w:rPr>
                <w:rFonts w:asciiTheme="minorHAnsi" w:hAnsiTheme="minorHAnsi" w:cstheme="minorHAnsi"/>
                <w:b/>
                <w:bCs/>
                <w:sz w:val="20"/>
              </w:rPr>
              <w:lastRenderedPageBreak/>
              <w:t>les indiquer clairement au client.</w:t>
            </w:r>
          </w:p>
        </w:tc>
        <w:tc>
          <w:tcPr>
            <w:tcW w:w="907" w:type="dxa"/>
            <w:vAlign w:val="center"/>
            <w:hideMark/>
          </w:tcPr>
          <w:p w14:paraId="31BB648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lastRenderedPageBreak/>
              <w:t>9.1.2.2</w:t>
            </w:r>
          </w:p>
        </w:tc>
        <w:tc>
          <w:tcPr>
            <w:tcW w:w="3828" w:type="dxa"/>
            <w:vAlign w:val="center"/>
            <w:hideMark/>
          </w:tcPr>
          <w:p w14:paraId="7CDDA078" w14:textId="05514605" w:rsidR="00E27FE0"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L’organisme de certification doit utiliser l’Annexe A pour définir le domaine d’application pertinent pour l’organisation émettant une demande de certification. L’énoncé du domaine d’application doit :</w:t>
            </w:r>
          </w:p>
          <w:p w14:paraId="2BE49EEF" w14:textId="46B7CE97" w:rsidR="00E27FE0"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Pr>
                <w:rFonts w:asciiTheme="minorHAnsi" w:hAnsiTheme="minorHAnsi" w:cstheme="minorHAnsi"/>
                <w:b/>
                <w:bCs/>
                <w:sz w:val="20"/>
              </w:rPr>
              <w:t>-</w:t>
            </w:r>
            <w:r w:rsidRPr="002313F3">
              <w:rPr>
                <w:rFonts w:asciiTheme="minorHAnsi" w:hAnsiTheme="minorHAnsi" w:cstheme="minorHAnsi"/>
                <w:b/>
                <w:bCs/>
                <w:sz w:val="20"/>
              </w:rPr>
              <w:t>Identifier la ou les catégories ou sous-catégories dans le périmètre de certification, pour chaque site ;</w:t>
            </w:r>
          </w:p>
          <w:p w14:paraId="7D0D8C6D" w14:textId="55DE282B"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Pr>
                <w:rFonts w:asciiTheme="minorHAnsi" w:hAnsiTheme="minorHAnsi" w:cstheme="minorHAnsi"/>
                <w:b/>
                <w:bCs/>
                <w:sz w:val="20"/>
              </w:rPr>
              <w:t>-</w:t>
            </w:r>
            <w:r w:rsidRPr="002313F3">
              <w:rPr>
                <w:rFonts w:asciiTheme="minorHAnsi" w:hAnsiTheme="minorHAnsi" w:cstheme="minorHAnsi"/>
                <w:b/>
                <w:bCs/>
                <w:sz w:val="20"/>
              </w:rPr>
              <w:t>Décrire brièvement les principaux types d’activités/processus pour les produits et/ou services qui sont audités par l’organisme de certification.</w:t>
            </w:r>
          </w:p>
        </w:tc>
        <w:tc>
          <w:tcPr>
            <w:tcW w:w="2608" w:type="dxa"/>
            <w:vAlign w:val="center"/>
          </w:tcPr>
          <w:p w14:paraId="0FB8594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vAlign w:val="center"/>
            <w:hideMark/>
          </w:tcPr>
          <w:p w14:paraId="0BD12092" w14:textId="2C2E8530"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vAlign w:val="center"/>
            <w:hideMark/>
          </w:tcPr>
          <w:p w14:paraId="70DB34F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vAlign w:val="center"/>
          </w:tcPr>
          <w:p w14:paraId="48E6310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2C478E3A" w14:textId="41F3AC7D" w:rsidTr="00CE48F1">
        <w:trPr>
          <w:trHeight w:val="1830"/>
        </w:trPr>
        <w:tc>
          <w:tcPr>
            <w:cnfStyle w:val="001000000000" w:firstRow="0" w:lastRow="0" w:firstColumn="1" w:lastColumn="0" w:oddVBand="0" w:evenVBand="0" w:oddHBand="0" w:evenHBand="0" w:firstRowFirstColumn="0" w:firstRowLastColumn="0" w:lastRowFirstColumn="0" w:lastRowLastColumn="0"/>
            <w:tcW w:w="907" w:type="dxa"/>
            <w:hideMark/>
          </w:tcPr>
          <w:p w14:paraId="1FD8B7DC"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9.1.2.3</w:t>
            </w:r>
          </w:p>
        </w:tc>
        <w:tc>
          <w:tcPr>
            <w:tcW w:w="2236" w:type="dxa"/>
            <w:hideMark/>
          </w:tcPr>
          <w:p w14:paraId="58124365" w14:textId="4BBF072F"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Sur la base de cette revue, l’organisme de certification doit déterminer les compétences nécessaires pour l’équipe d’audit à missionner et pour la décision de certification.</w:t>
            </w:r>
          </w:p>
        </w:tc>
        <w:tc>
          <w:tcPr>
            <w:tcW w:w="907" w:type="dxa"/>
            <w:hideMark/>
          </w:tcPr>
          <w:p w14:paraId="4FB056A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9.1.2.3</w:t>
            </w:r>
          </w:p>
        </w:tc>
        <w:tc>
          <w:tcPr>
            <w:tcW w:w="3828" w:type="dxa"/>
            <w:hideMark/>
          </w:tcPr>
          <w:p w14:paraId="046B53B0" w14:textId="24E04B8C" w:rsidR="00E27FE0"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 périmètre défini de la certification ne doit pas :</w:t>
            </w:r>
            <w:r w:rsidRPr="002313F3">
              <w:rPr>
                <w:rFonts w:asciiTheme="minorHAnsi" w:hAnsiTheme="minorHAnsi" w:cstheme="minorHAnsi"/>
                <w:b/>
                <w:bCs/>
                <w:sz w:val="20"/>
              </w:rPr>
              <w:br/>
            </w:r>
            <w:r>
              <w:rPr>
                <w:rFonts w:asciiTheme="minorHAnsi" w:hAnsiTheme="minorHAnsi" w:cstheme="minorHAnsi"/>
                <w:b/>
                <w:bCs/>
                <w:sz w:val="20"/>
              </w:rPr>
              <w:t>-</w:t>
            </w:r>
            <w:r w:rsidRPr="002313F3">
              <w:rPr>
                <w:rFonts w:asciiTheme="minorHAnsi" w:hAnsiTheme="minorHAnsi" w:cstheme="minorHAnsi"/>
                <w:b/>
                <w:bCs/>
                <w:sz w:val="20"/>
              </w:rPr>
              <w:t>être trompeur ;</w:t>
            </w:r>
          </w:p>
          <w:p w14:paraId="66D6E43D" w14:textId="120D2463" w:rsidR="00E27FE0"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Pr>
                <w:rFonts w:asciiTheme="minorHAnsi" w:hAnsiTheme="minorHAnsi" w:cstheme="minorHAnsi"/>
                <w:b/>
                <w:bCs/>
                <w:sz w:val="20"/>
              </w:rPr>
              <w:t>-</w:t>
            </w:r>
            <w:r w:rsidRPr="002313F3">
              <w:rPr>
                <w:rFonts w:asciiTheme="minorHAnsi" w:hAnsiTheme="minorHAnsi" w:cstheme="minorHAnsi"/>
                <w:b/>
                <w:bCs/>
                <w:sz w:val="20"/>
              </w:rPr>
              <w:t>Exclure d’activités, de procédés, de produits ou de services du périmètre de la certification lorsque</w:t>
            </w:r>
            <w:r>
              <w:rPr>
                <w:rFonts w:asciiTheme="minorHAnsi" w:hAnsiTheme="minorHAnsi" w:cstheme="minorHAnsi"/>
                <w:b/>
                <w:bCs/>
                <w:sz w:val="20"/>
              </w:rPr>
              <w:t xml:space="preserve"> </w:t>
            </w:r>
            <w:r w:rsidRPr="002313F3">
              <w:rPr>
                <w:rFonts w:asciiTheme="minorHAnsi" w:hAnsiTheme="minorHAnsi" w:cstheme="minorHAnsi"/>
                <w:b/>
                <w:bCs/>
                <w:sz w:val="20"/>
              </w:rPr>
              <w:t>ces derniers peuvent influer sur la sécurité sanitaire des produits finis telle que définie par la</w:t>
            </w:r>
            <w:r>
              <w:rPr>
                <w:rFonts w:asciiTheme="minorHAnsi" w:hAnsiTheme="minorHAnsi" w:cstheme="minorHAnsi"/>
                <w:b/>
                <w:bCs/>
                <w:sz w:val="20"/>
              </w:rPr>
              <w:t xml:space="preserve"> </w:t>
            </w:r>
            <w:r w:rsidRPr="002313F3">
              <w:rPr>
                <w:rFonts w:asciiTheme="minorHAnsi" w:hAnsiTheme="minorHAnsi" w:cstheme="minorHAnsi"/>
                <w:b/>
                <w:bCs/>
                <w:sz w:val="20"/>
              </w:rPr>
              <w:t>responsabilité juridique des activités des organismes ;</w:t>
            </w:r>
          </w:p>
          <w:p w14:paraId="3AFA14A6" w14:textId="1D39A9F5"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Pr>
                <w:rFonts w:asciiTheme="minorHAnsi" w:hAnsiTheme="minorHAnsi" w:cstheme="minorHAnsi"/>
                <w:b/>
                <w:bCs/>
                <w:sz w:val="20"/>
              </w:rPr>
              <w:t>-</w:t>
            </w:r>
            <w:r w:rsidRPr="002313F3">
              <w:rPr>
                <w:rFonts w:asciiTheme="minorHAnsi" w:hAnsiTheme="minorHAnsi" w:cstheme="minorHAnsi"/>
                <w:b/>
                <w:bCs/>
                <w:sz w:val="20"/>
              </w:rPr>
              <w:t>Inclure de mentions, marques ou allégations promotionnelles.</w:t>
            </w:r>
          </w:p>
        </w:tc>
        <w:tc>
          <w:tcPr>
            <w:tcW w:w="2608" w:type="dxa"/>
          </w:tcPr>
          <w:p w14:paraId="4AADDFF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26F6EA11" w14:textId="2E45E6A4"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697E45C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3C2D142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5DB5556" w14:textId="286BB0E1" w:rsidTr="00CE48F1">
        <w:trPr>
          <w:trHeight w:val="278"/>
        </w:trPr>
        <w:tc>
          <w:tcPr>
            <w:cnfStyle w:val="001000000000" w:firstRow="0" w:lastRow="0" w:firstColumn="1" w:lastColumn="0" w:oddVBand="0" w:evenVBand="0" w:oddHBand="0" w:evenHBand="0" w:firstRowFirstColumn="0" w:firstRowLastColumn="0" w:lastRowFirstColumn="0" w:lastRowLastColumn="0"/>
            <w:tcW w:w="907" w:type="dxa"/>
            <w:hideMark/>
          </w:tcPr>
          <w:p w14:paraId="502823FB"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9.1.3</w:t>
            </w:r>
          </w:p>
        </w:tc>
        <w:tc>
          <w:tcPr>
            <w:tcW w:w="2236" w:type="dxa"/>
            <w:hideMark/>
          </w:tcPr>
          <w:p w14:paraId="2EF93704"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Programme d’audit</w:t>
            </w:r>
          </w:p>
        </w:tc>
        <w:tc>
          <w:tcPr>
            <w:tcW w:w="907" w:type="dxa"/>
            <w:hideMark/>
          </w:tcPr>
          <w:p w14:paraId="29C05E5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9.1.3</w:t>
            </w:r>
          </w:p>
        </w:tc>
        <w:tc>
          <w:tcPr>
            <w:tcW w:w="3828" w:type="dxa"/>
            <w:hideMark/>
          </w:tcPr>
          <w:p w14:paraId="53EFC07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Programme d’audit</w:t>
            </w:r>
          </w:p>
        </w:tc>
        <w:tc>
          <w:tcPr>
            <w:tcW w:w="2608" w:type="dxa"/>
          </w:tcPr>
          <w:p w14:paraId="6E368EE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2FB76A0D" w14:textId="0B76F8E1"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2A6C3FE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466D79D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761BC9D" w14:textId="70E8C9C1" w:rsidTr="00CE48F1">
        <w:trPr>
          <w:trHeight w:val="1128"/>
        </w:trPr>
        <w:tc>
          <w:tcPr>
            <w:cnfStyle w:val="001000000000" w:firstRow="0" w:lastRow="0" w:firstColumn="1" w:lastColumn="0" w:oddVBand="0" w:evenVBand="0" w:oddHBand="0" w:evenHBand="0" w:firstRowFirstColumn="0" w:firstRowLastColumn="0" w:lastRowFirstColumn="0" w:lastRowLastColumn="0"/>
            <w:tcW w:w="907" w:type="dxa"/>
            <w:hideMark/>
          </w:tcPr>
          <w:p w14:paraId="1A65795E"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 xml:space="preserve">9.1.3.1 </w:t>
            </w:r>
          </w:p>
        </w:tc>
        <w:tc>
          <w:tcPr>
            <w:tcW w:w="2236" w:type="dxa"/>
            <w:hideMark/>
          </w:tcPr>
          <w:p w14:paraId="367DB0AD" w14:textId="77777777" w:rsidR="00E27FE0"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Un programme d’audit d’un cycle complet de certification doit être élaboré pour identifier clairement la (les) activité(s) d’audit requise(s) pour démontrer que le système de management du client répond aux exigences de la certification suivant la (les) norme(s) ou autres documents normatifs choisis.</w:t>
            </w:r>
          </w:p>
          <w:p w14:paraId="41EDDCAC" w14:textId="053DFF74"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lastRenderedPageBreak/>
              <w:t>Le programme d’audit pour le cycle de certification doit couvrir l’ensemble des exigences relatives au système de management.</w:t>
            </w:r>
          </w:p>
        </w:tc>
        <w:tc>
          <w:tcPr>
            <w:tcW w:w="907" w:type="dxa"/>
            <w:hideMark/>
          </w:tcPr>
          <w:p w14:paraId="5D377DF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lastRenderedPageBreak/>
              <w:t xml:space="preserve">9.1.3.1 </w:t>
            </w:r>
          </w:p>
        </w:tc>
        <w:tc>
          <w:tcPr>
            <w:tcW w:w="3828" w:type="dxa"/>
            <w:hideMark/>
          </w:tcPr>
          <w:p w14:paraId="34E736A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L’ISO/IEC 17021-</w:t>
            </w:r>
            <w:proofErr w:type="gramStart"/>
            <w:r w:rsidRPr="002313F3">
              <w:rPr>
                <w:rFonts w:asciiTheme="minorHAnsi" w:hAnsiTheme="minorHAnsi" w:cstheme="minorHAnsi"/>
                <w:b/>
                <w:bCs/>
                <w:sz w:val="20"/>
              </w:rPr>
              <w:t>1:</w:t>
            </w:r>
            <w:proofErr w:type="gramEnd"/>
            <w:r w:rsidRPr="002313F3">
              <w:rPr>
                <w:rFonts w:asciiTheme="minorHAnsi" w:hAnsiTheme="minorHAnsi" w:cstheme="minorHAnsi"/>
                <w:b/>
                <w:bCs/>
                <w:sz w:val="20"/>
              </w:rPr>
              <w:t>2015, 9.1.3, doit être respectée.</w:t>
            </w:r>
          </w:p>
        </w:tc>
        <w:tc>
          <w:tcPr>
            <w:tcW w:w="2608" w:type="dxa"/>
          </w:tcPr>
          <w:p w14:paraId="4972B52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25289609" w14:textId="3E15127A"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2110AA4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2D90F35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CB5D72D" w14:textId="2CD41EC2" w:rsidTr="00CE48F1">
        <w:trPr>
          <w:trHeight w:val="2262"/>
        </w:trPr>
        <w:tc>
          <w:tcPr>
            <w:cnfStyle w:val="001000000000" w:firstRow="0" w:lastRow="0" w:firstColumn="1" w:lastColumn="0" w:oddVBand="0" w:evenVBand="0" w:oddHBand="0" w:evenHBand="0" w:firstRowFirstColumn="0" w:firstRowLastColumn="0" w:lastRowFirstColumn="0" w:lastRowLastColumn="0"/>
            <w:tcW w:w="907" w:type="dxa"/>
            <w:hideMark/>
          </w:tcPr>
          <w:p w14:paraId="1B8DA3CF"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9.1.3.2</w:t>
            </w:r>
          </w:p>
        </w:tc>
        <w:tc>
          <w:tcPr>
            <w:tcW w:w="2236" w:type="dxa"/>
            <w:hideMark/>
          </w:tcPr>
          <w:p w14:paraId="23D20EB3" w14:textId="6398430B"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Le programme d’audit pour la certification initiale doit comprendre un audit initial en deux étapes, des audits de surveillance durant la première et la deuxième année après la décision de certification et un audit de renouvellement de certification durant la troisième année avant l’expiration de la certification. Le premier cycle de certification de trois ans commence avec la décision de certification. Les cycles suivants commencent avec la décision de renouvellement de la certification (voir 9.6.3.2.3). La </w:t>
            </w:r>
            <w:r w:rsidRPr="002313F3">
              <w:rPr>
                <w:rFonts w:asciiTheme="minorHAnsi" w:hAnsiTheme="minorHAnsi" w:cstheme="minorHAnsi"/>
                <w:b/>
                <w:bCs/>
                <w:sz w:val="20"/>
              </w:rPr>
              <w:lastRenderedPageBreak/>
              <w:t>détermination du programme d’audit et tout ajustement ultérieur doivent tenir compte de la taille du client, du périmètre et de la complexité du système de management du client, des produits et des processus ainsi que du niveau démontré d’efficacité du système de management et des résultats d’audits précédents.</w:t>
            </w:r>
          </w:p>
        </w:tc>
        <w:tc>
          <w:tcPr>
            <w:tcW w:w="907" w:type="dxa"/>
            <w:hideMark/>
          </w:tcPr>
          <w:p w14:paraId="4C8A9BF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lastRenderedPageBreak/>
              <w:t>9.1.3.2</w:t>
            </w:r>
          </w:p>
        </w:tc>
        <w:tc>
          <w:tcPr>
            <w:tcW w:w="3828" w:type="dxa"/>
            <w:hideMark/>
          </w:tcPr>
          <w:p w14:paraId="7C8EB370" w14:textId="338A50A9"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En outre, l’organisme de certification doit disposer d’un processus pour choisir la date et</w:t>
            </w:r>
            <w:r>
              <w:rPr>
                <w:rFonts w:asciiTheme="minorHAnsi" w:hAnsiTheme="minorHAnsi" w:cstheme="minorHAnsi"/>
                <w:b/>
                <w:bCs/>
                <w:sz w:val="20"/>
              </w:rPr>
              <w:t xml:space="preserve"> </w:t>
            </w:r>
            <w:r w:rsidRPr="002313F3">
              <w:rPr>
                <w:rFonts w:asciiTheme="minorHAnsi" w:hAnsiTheme="minorHAnsi" w:cstheme="minorHAnsi"/>
                <w:b/>
                <w:bCs/>
                <w:sz w:val="20"/>
              </w:rPr>
              <w:t>la saison de l’audit pour que l’équipe d’audit ait l’occasion d’auditer l’organisation en fonctionnement sur un nombre représentatif de lignes de produits et/ou de services couverts par le périmètre de la certification.</w:t>
            </w:r>
          </w:p>
        </w:tc>
        <w:tc>
          <w:tcPr>
            <w:tcW w:w="2608" w:type="dxa"/>
          </w:tcPr>
          <w:p w14:paraId="1A90A0F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0986C5EE" w14:textId="509C630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1263E0D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60ACBD4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0DB8A73E" w14:textId="5DE58370"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hideMark/>
          </w:tcPr>
          <w:p w14:paraId="070C93DF" w14:textId="6CECC743"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 xml:space="preserve">9.1.4 </w:t>
            </w:r>
          </w:p>
        </w:tc>
        <w:tc>
          <w:tcPr>
            <w:tcW w:w="2236" w:type="dxa"/>
            <w:hideMark/>
          </w:tcPr>
          <w:p w14:paraId="0891802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Détermination du temps d'audit</w:t>
            </w:r>
          </w:p>
        </w:tc>
        <w:tc>
          <w:tcPr>
            <w:tcW w:w="907" w:type="dxa"/>
            <w:hideMark/>
          </w:tcPr>
          <w:p w14:paraId="50EEC743" w14:textId="11C92713"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9.1.4 </w:t>
            </w:r>
          </w:p>
        </w:tc>
        <w:tc>
          <w:tcPr>
            <w:tcW w:w="3828" w:type="dxa"/>
            <w:hideMark/>
          </w:tcPr>
          <w:p w14:paraId="735F46C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Détermination du temps d'audit</w:t>
            </w:r>
          </w:p>
        </w:tc>
        <w:tc>
          <w:tcPr>
            <w:tcW w:w="2608" w:type="dxa"/>
          </w:tcPr>
          <w:p w14:paraId="473C4F7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154" w:type="dxa"/>
            <w:hideMark/>
          </w:tcPr>
          <w:p w14:paraId="292B40A6" w14:textId="397B38B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w:t>
            </w:r>
          </w:p>
        </w:tc>
        <w:tc>
          <w:tcPr>
            <w:tcW w:w="1105" w:type="dxa"/>
            <w:hideMark/>
          </w:tcPr>
          <w:p w14:paraId="7B5BD99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w:t>
            </w:r>
          </w:p>
        </w:tc>
        <w:tc>
          <w:tcPr>
            <w:tcW w:w="2070" w:type="dxa"/>
          </w:tcPr>
          <w:p w14:paraId="48F0403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r>
      <w:tr w:rsidR="00CE48F1" w:rsidRPr="002313F3" w14:paraId="52DFB860" w14:textId="43DB9634" w:rsidTr="00CE48F1">
        <w:trPr>
          <w:trHeight w:val="561"/>
        </w:trPr>
        <w:tc>
          <w:tcPr>
            <w:cnfStyle w:val="001000000000" w:firstRow="0" w:lastRow="0" w:firstColumn="1" w:lastColumn="0" w:oddVBand="0" w:evenVBand="0" w:oddHBand="0" w:evenHBand="0" w:firstRowFirstColumn="0" w:firstRowLastColumn="0" w:lastRowFirstColumn="0" w:lastRowLastColumn="0"/>
            <w:tcW w:w="907" w:type="dxa"/>
            <w:hideMark/>
          </w:tcPr>
          <w:p w14:paraId="7FF4C060"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9.1.4.1</w:t>
            </w:r>
          </w:p>
        </w:tc>
        <w:tc>
          <w:tcPr>
            <w:tcW w:w="2236" w:type="dxa"/>
            <w:hideMark/>
          </w:tcPr>
          <w:p w14:paraId="6B850E5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L’organisme de certification doit disposer de procédures documentées pour la détermination du temps d’audit. Pour chaque client, l’organisme de certification doit déterminer le temps nécessaire à la planification et à la réalisation d’un audit </w:t>
            </w:r>
            <w:r w:rsidRPr="002313F3">
              <w:rPr>
                <w:rFonts w:asciiTheme="minorHAnsi" w:hAnsiTheme="minorHAnsi" w:cstheme="minorHAnsi"/>
                <w:b/>
                <w:bCs/>
                <w:sz w:val="20"/>
              </w:rPr>
              <w:lastRenderedPageBreak/>
              <w:t>complet et efficace du système de management du client.</w:t>
            </w:r>
          </w:p>
        </w:tc>
        <w:tc>
          <w:tcPr>
            <w:tcW w:w="907" w:type="dxa"/>
            <w:hideMark/>
          </w:tcPr>
          <w:p w14:paraId="6A834BE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lastRenderedPageBreak/>
              <w:t>9.1.4.1</w:t>
            </w:r>
          </w:p>
        </w:tc>
        <w:tc>
          <w:tcPr>
            <w:tcW w:w="3828" w:type="dxa"/>
            <w:hideMark/>
          </w:tcPr>
          <w:p w14:paraId="4A0407AE" w14:textId="645CBA39"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L’ISO/IEC 17021-1</w:t>
            </w:r>
            <w:r>
              <w:rPr>
                <w:rFonts w:asciiTheme="minorHAnsi" w:hAnsiTheme="minorHAnsi" w:cstheme="minorHAnsi"/>
                <w:b/>
                <w:bCs/>
                <w:sz w:val="20"/>
              </w:rPr>
              <w:t xml:space="preserve"> </w:t>
            </w:r>
            <w:r w:rsidRPr="002313F3">
              <w:rPr>
                <w:rFonts w:asciiTheme="minorHAnsi" w:hAnsiTheme="minorHAnsi" w:cstheme="minorHAnsi"/>
                <w:b/>
                <w:bCs/>
                <w:sz w:val="20"/>
              </w:rPr>
              <w:t>:</w:t>
            </w:r>
            <w:r>
              <w:rPr>
                <w:rFonts w:asciiTheme="minorHAnsi" w:hAnsiTheme="minorHAnsi" w:cstheme="minorHAnsi"/>
                <w:b/>
                <w:bCs/>
                <w:sz w:val="20"/>
              </w:rPr>
              <w:t xml:space="preserve"> </w:t>
            </w:r>
            <w:r w:rsidRPr="002313F3">
              <w:rPr>
                <w:rFonts w:asciiTheme="minorHAnsi" w:hAnsiTheme="minorHAnsi" w:cstheme="minorHAnsi"/>
                <w:b/>
                <w:bCs/>
                <w:sz w:val="20"/>
              </w:rPr>
              <w:t>2015, 9.1.4, doit être respectée.</w:t>
            </w:r>
          </w:p>
        </w:tc>
        <w:tc>
          <w:tcPr>
            <w:tcW w:w="2608" w:type="dxa"/>
          </w:tcPr>
          <w:p w14:paraId="52EE3AC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154" w:type="dxa"/>
            <w:hideMark/>
          </w:tcPr>
          <w:p w14:paraId="17A7767B" w14:textId="6FC0CFBB"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w:t>
            </w:r>
          </w:p>
        </w:tc>
        <w:tc>
          <w:tcPr>
            <w:tcW w:w="1105" w:type="dxa"/>
            <w:hideMark/>
          </w:tcPr>
          <w:p w14:paraId="0E78FF1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w:t>
            </w:r>
          </w:p>
        </w:tc>
        <w:tc>
          <w:tcPr>
            <w:tcW w:w="2070" w:type="dxa"/>
          </w:tcPr>
          <w:p w14:paraId="5A1E332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r>
      <w:tr w:rsidR="00CE48F1" w:rsidRPr="002313F3" w14:paraId="5DB493C7" w14:textId="539CB548" w:rsidTr="00CE48F1">
        <w:trPr>
          <w:trHeight w:val="1485"/>
        </w:trPr>
        <w:tc>
          <w:tcPr>
            <w:cnfStyle w:val="001000000000" w:firstRow="0" w:lastRow="0" w:firstColumn="1" w:lastColumn="0" w:oddVBand="0" w:evenVBand="0" w:oddHBand="0" w:evenHBand="0" w:firstRowFirstColumn="0" w:firstRowLastColumn="0" w:lastRowFirstColumn="0" w:lastRowLastColumn="0"/>
            <w:tcW w:w="907" w:type="dxa"/>
            <w:vMerge w:val="restart"/>
            <w:hideMark/>
          </w:tcPr>
          <w:p w14:paraId="6BB12798"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9.1.4.2</w:t>
            </w:r>
          </w:p>
        </w:tc>
        <w:tc>
          <w:tcPr>
            <w:tcW w:w="2236" w:type="dxa"/>
            <w:hideMark/>
          </w:tcPr>
          <w:p w14:paraId="0648E19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Lorsqu’il détermine le temps d’audit, il convient que l’organisme de certification tienne compte, entre autres, des aspects suivants : </w:t>
            </w:r>
          </w:p>
        </w:tc>
        <w:tc>
          <w:tcPr>
            <w:tcW w:w="907" w:type="dxa"/>
            <w:vMerge w:val="restart"/>
            <w:hideMark/>
          </w:tcPr>
          <w:p w14:paraId="3502282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9.1.4.2</w:t>
            </w:r>
          </w:p>
        </w:tc>
        <w:tc>
          <w:tcPr>
            <w:tcW w:w="3828" w:type="dxa"/>
            <w:vMerge w:val="restart"/>
            <w:hideMark/>
          </w:tcPr>
          <w:p w14:paraId="2ECB4E04" w14:textId="674192B1"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L’organisme de certification doit disposer de procédures documentées pour la détermination</w:t>
            </w:r>
            <w:r>
              <w:rPr>
                <w:rFonts w:asciiTheme="minorHAnsi" w:hAnsiTheme="minorHAnsi" w:cstheme="minorHAnsi"/>
                <w:b/>
                <w:bCs/>
                <w:sz w:val="20"/>
              </w:rPr>
              <w:t xml:space="preserve"> </w:t>
            </w:r>
            <w:r w:rsidRPr="002313F3">
              <w:rPr>
                <w:rFonts w:asciiTheme="minorHAnsi" w:hAnsiTheme="minorHAnsi" w:cstheme="minorHAnsi"/>
                <w:b/>
                <w:bCs/>
                <w:sz w:val="20"/>
              </w:rPr>
              <w:t>du temps d’audit et pour chaque client, l’organisme de certification doit déterminer le temps nécessaire à la planification et à la réalisation d’un audit complet et efficace du SMSDA du client. Afin de déterminer la durée de l’audit, l’organisme de certification doit utiliser la méthodologie décrite à l’Annexe B. Le temps imparti déterminé par l’organisme de certification ainsi que les justifications correspondantes doivent être enregistrés, y compris la justification de toute réduction ou de tout allongement.</w:t>
            </w:r>
          </w:p>
        </w:tc>
        <w:tc>
          <w:tcPr>
            <w:tcW w:w="2608" w:type="dxa"/>
          </w:tcPr>
          <w:p w14:paraId="1D3B39D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vMerge w:val="restart"/>
            <w:noWrap/>
            <w:hideMark/>
          </w:tcPr>
          <w:p w14:paraId="487CADDE" w14:textId="1852029F"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vMerge w:val="restart"/>
            <w:noWrap/>
            <w:hideMark/>
          </w:tcPr>
          <w:p w14:paraId="7227034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3DE376C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40223F30" w14:textId="5A4F9DA8" w:rsidTr="00CE48F1">
        <w:trPr>
          <w:trHeight w:val="600"/>
        </w:trPr>
        <w:tc>
          <w:tcPr>
            <w:cnfStyle w:val="001000000000" w:firstRow="0" w:lastRow="0" w:firstColumn="1" w:lastColumn="0" w:oddVBand="0" w:evenVBand="0" w:oddHBand="0" w:evenHBand="0" w:firstRowFirstColumn="0" w:firstRowLastColumn="0" w:lastRowFirstColumn="0" w:lastRowLastColumn="0"/>
            <w:tcW w:w="907" w:type="dxa"/>
            <w:vMerge/>
            <w:hideMark/>
          </w:tcPr>
          <w:p w14:paraId="739617ED" w14:textId="77777777" w:rsidR="00E27FE0" w:rsidRPr="002313F3" w:rsidRDefault="00E27FE0" w:rsidP="00CE48F1">
            <w:pPr>
              <w:rPr>
                <w:rFonts w:asciiTheme="minorHAnsi" w:hAnsiTheme="minorHAnsi" w:cstheme="minorHAnsi"/>
                <w:b w:val="0"/>
                <w:bCs w:val="0"/>
                <w:sz w:val="20"/>
              </w:rPr>
            </w:pPr>
          </w:p>
        </w:tc>
        <w:tc>
          <w:tcPr>
            <w:tcW w:w="2236" w:type="dxa"/>
            <w:hideMark/>
          </w:tcPr>
          <w:p w14:paraId="6020C8B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a) les exigences de la norme de système de management applicable ;</w:t>
            </w:r>
          </w:p>
        </w:tc>
        <w:tc>
          <w:tcPr>
            <w:tcW w:w="907" w:type="dxa"/>
            <w:vMerge/>
            <w:hideMark/>
          </w:tcPr>
          <w:p w14:paraId="64C225B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3828" w:type="dxa"/>
            <w:vMerge/>
            <w:hideMark/>
          </w:tcPr>
          <w:p w14:paraId="072DF7F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tcPr>
          <w:p w14:paraId="40CCDB9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vMerge/>
            <w:hideMark/>
          </w:tcPr>
          <w:p w14:paraId="098F46DB" w14:textId="0425FFA4"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1105" w:type="dxa"/>
            <w:vMerge/>
            <w:hideMark/>
          </w:tcPr>
          <w:p w14:paraId="589DFDE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070" w:type="dxa"/>
          </w:tcPr>
          <w:p w14:paraId="3B60242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56D03523" w14:textId="7258ACA2" w:rsidTr="00CE48F1">
        <w:trPr>
          <w:trHeight w:val="615"/>
        </w:trPr>
        <w:tc>
          <w:tcPr>
            <w:cnfStyle w:val="001000000000" w:firstRow="0" w:lastRow="0" w:firstColumn="1" w:lastColumn="0" w:oddVBand="0" w:evenVBand="0" w:oddHBand="0" w:evenHBand="0" w:firstRowFirstColumn="0" w:firstRowLastColumn="0" w:lastRowFirstColumn="0" w:lastRowLastColumn="0"/>
            <w:tcW w:w="907" w:type="dxa"/>
            <w:vMerge/>
            <w:hideMark/>
          </w:tcPr>
          <w:p w14:paraId="7CDEFE15" w14:textId="77777777" w:rsidR="00E27FE0" w:rsidRPr="002313F3" w:rsidRDefault="00E27FE0" w:rsidP="00CE48F1">
            <w:pPr>
              <w:rPr>
                <w:rFonts w:asciiTheme="minorHAnsi" w:hAnsiTheme="minorHAnsi" w:cstheme="minorHAnsi"/>
                <w:b w:val="0"/>
                <w:bCs w:val="0"/>
                <w:sz w:val="20"/>
              </w:rPr>
            </w:pPr>
          </w:p>
        </w:tc>
        <w:tc>
          <w:tcPr>
            <w:tcW w:w="2236" w:type="dxa"/>
            <w:hideMark/>
          </w:tcPr>
          <w:p w14:paraId="11C6702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b) la taille et la complexité du client et de son système de management ;</w:t>
            </w:r>
          </w:p>
        </w:tc>
        <w:tc>
          <w:tcPr>
            <w:tcW w:w="907" w:type="dxa"/>
            <w:vMerge/>
            <w:hideMark/>
          </w:tcPr>
          <w:p w14:paraId="04CA54A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3828" w:type="dxa"/>
            <w:vMerge/>
            <w:hideMark/>
          </w:tcPr>
          <w:p w14:paraId="611D55A4"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tcPr>
          <w:p w14:paraId="42E0D2F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vMerge/>
            <w:hideMark/>
          </w:tcPr>
          <w:p w14:paraId="3D6B5469" w14:textId="0E1125B9"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1105" w:type="dxa"/>
            <w:vMerge/>
            <w:hideMark/>
          </w:tcPr>
          <w:p w14:paraId="5992263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070" w:type="dxa"/>
          </w:tcPr>
          <w:p w14:paraId="4EE3BE5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89C0CF5" w14:textId="1209A9E9" w:rsidTr="00CE48F1">
        <w:trPr>
          <w:trHeight w:val="465"/>
        </w:trPr>
        <w:tc>
          <w:tcPr>
            <w:cnfStyle w:val="001000000000" w:firstRow="0" w:lastRow="0" w:firstColumn="1" w:lastColumn="0" w:oddVBand="0" w:evenVBand="0" w:oddHBand="0" w:evenHBand="0" w:firstRowFirstColumn="0" w:firstRowLastColumn="0" w:lastRowFirstColumn="0" w:lastRowLastColumn="0"/>
            <w:tcW w:w="907" w:type="dxa"/>
            <w:vMerge/>
            <w:hideMark/>
          </w:tcPr>
          <w:p w14:paraId="0C936BEA" w14:textId="77777777" w:rsidR="00E27FE0" w:rsidRPr="002313F3" w:rsidRDefault="00E27FE0" w:rsidP="00CE48F1">
            <w:pPr>
              <w:rPr>
                <w:rFonts w:asciiTheme="minorHAnsi" w:hAnsiTheme="minorHAnsi" w:cstheme="minorHAnsi"/>
                <w:b w:val="0"/>
                <w:bCs w:val="0"/>
                <w:sz w:val="20"/>
              </w:rPr>
            </w:pPr>
          </w:p>
        </w:tc>
        <w:tc>
          <w:tcPr>
            <w:tcW w:w="2236" w:type="dxa"/>
            <w:hideMark/>
          </w:tcPr>
          <w:p w14:paraId="0E9FAE94"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c) le cadre technologique et réglementaire ;</w:t>
            </w:r>
          </w:p>
        </w:tc>
        <w:tc>
          <w:tcPr>
            <w:tcW w:w="907" w:type="dxa"/>
            <w:vMerge/>
            <w:hideMark/>
          </w:tcPr>
          <w:p w14:paraId="1EF90A9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3828" w:type="dxa"/>
            <w:vMerge/>
            <w:hideMark/>
          </w:tcPr>
          <w:p w14:paraId="5317AD0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tcPr>
          <w:p w14:paraId="1348A7E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vMerge/>
            <w:hideMark/>
          </w:tcPr>
          <w:p w14:paraId="4E56AB08" w14:textId="460A46BD"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1105" w:type="dxa"/>
            <w:vMerge/>
            <w:hideMark/>
          </w:tcPr>
          <w:p w14:paraId="6DEC2D8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070" w:type="dxa"/>
          </w:tcPr>
          <w:p w14:paraId="17C7F9C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69C17B00" w14:textId="6DC53E19" w:rsidTr="00CE48F1">
        <w:trPr>
          <w:trHeight w:val="675"/>
        </w:trPr>
        <w:tc>
          <w:tcPr>
            <w:cnfStyle w:val="001000000000" w:firstRow="0" w:lastRow="0" w:firstColumn="1" w:lastColumn="0" w:oddVBand="0" w:evenVBand="0" w:oddHBand="0" w:evenHBand="0" w:firstRowFirstColumn="0" w:firstRowLastColumn="0" w:lastRowFirstColumn="0" w:lastRowLastColumn="0"/>
            <w:tcW w:w="907" w:type="dxa"/>
            <w:vMerge/>
            <w:hideMark/>
          </w:tcPr>
          <w:p w14:paraId="35A9D65E" w14:textId="77777777" w:rsidR="00E27FE0" w:rsidRPr="002313F3" w:rsidRDefault="00E27FE0" w:rsidP="00CE48F1">
            <w:pPr>
              <w:rPr>
                <w:rFonts w:asciiTheme="minorHAnsi" w:hAnsiTheme="minorHAnsi" w:cstheme="minorHAnsi"/>
                <w:b w:val="0"/>
                <w:bCs w:val="0"/>
                <w:sz w:val="20"/>
              </w:rPr>
            </w:pPr>
          </w:p>
        </w:tc>
        <w:tc>
          <w:tcPr>
            <w:tcW w:w="2236" w:type="dxa"/>
            <w:hideMark/>
          </w:tcPr>
          <w:p w14:paraId="4F9192F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d) toute externalisation d’activités comprises dans le domaine d’application du système de management ;</w:t>
            </w:r>
          </w:p>
        </w:tc>
        <w:tc>
          <w:tcPr>
            <w:tcW w:w="907" w:type="dxa"/>
            <w:vMerge/>
            <w:hideMark/>
          </w:tcPr>
          <w:p w14:paraId="1EBEE34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3828" w:type="dxa"/>
            <w:vMerge/>
            <w:hideMark/>
          </w:tcPr>
          <w:p w14:paraId="1C219EF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tcPr>
          <w:p w14:paraId="74A265C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vMerge/>
            <w:hideMark/>
          </w:tcPr>
          <w:p w14:paraId="50DD3058" w14:textId="655E7B05"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1105" w:type="dxa"/>
            <w:vMerge/>
            <w:hideMark/>
          </w:tcPr>
          <w:p w14:paraId="5094710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070" w:type="dxa"/>
          </w:tcPr>
          <w:p w14:paraId="42EC2EE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04CA1AB" w14:textId="79CF59DB"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vMerge/>
            <w:hideMark/>
          </w:tcPr>
          <w:p w14:paraId="3E989E32" w14:textId="77777777" w:rsidR="00E27FE0" w:rsidRPr="002313F3" w:rsidRDefault="00E27FE0" w:rsidP="00CE48F1">
            <w:pPr>
              <w:rPr>
                <w:rFonts w:asciiTheme="minorHAnsi" w:hAnsiTheme="minorHAnsi" w:cstheme="minorHAnsi"/>
                <w:b w:val="0"/>
                <w:bCs w:val="0"/>
                <w:sz w:val="20"/>
              </w:rPr>
            </w:pPr>
          </w:p>
        </w:tc>
        <w:tc>
          <w:tcPr>
            <w:tcW w:w="2236" w:type="dxa"/>
            <w:hideMark/>
          </w:tcPr>
          <w:p w14:paraId="7FF9ACE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 les résultats d’audits antérieurs ;</w:t>
            </w:r>
          </w:p>
        </w:tc>
        <w:tc>
          <w:tcPr>
            <w:tcW w:w="907" w:type="dxa"/>
            <w:vMerge/>
            <w:hideMark/>
          </w:tcPr>
          <w:p w14:paraId="286B9B8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3828" w:type="dxa"/>
            <w:vMerge/>
            <w:hideMark/>
          </w:tcPr>
          <w:p w14:paraId="433A29B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tcPr>
          <w:p w14:paraId="473A885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vMerge/>
            <w:hideMark/>
          </w:tcPr>
          <w:p w14:paraId="29600B22" w14:textId="15285466"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1105" w:type="dxa"/>
            <w:vMerge/>
            <w:hideMark/>
          </w:tcPr>
          <w:p w14:paraId="6497D82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070" w:type="dxa"/>
          </w:tcPr>
          <w:p w14:paraId="22B72AE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64F2DBA2" w14:textId="67F4F18C" w:rsidTr="00CE48F1">
        <w:trPr>
          <w:trHeight w:val="690"/>
        </w:trPr>
        <w:tc>
          <w:tcPr>
            <w:cnfStyle w:val="001000000000" w:firstRow="0" w:lastRow="0" w:firstColumn="1" w:lastColumn="0" w:oddVBand="0" w:evenVBand="0" w:oddHBand="0" w:evenHBand="0" w:firstRowFirstColumn="0" w:firstRowLastColumn="0" w:lastRowFirstColumn="0" w:lastRowLastColumn="0"/>
            <w:tcW w:w="907" w:type="dxa"/>
            <w:vMerge/>
            <w:hideMark/>
          </w:tcPr>
          <w:p w14:paraId="06E2F1DE" w14:textId="77777777" w:rsidR="00E27FE0" w:rsidRPr="002313F3" w:rsidRDefault="00E27FE0" w:rsidP="00CE48F1">
            <w:pPr>
              <w:rPr>
                <w:rFonts w:asciiTheme="minorHAnsi" w:hAnsiTheme="minorHAnsi" w:cstheme="minorHAnsi"/>
                <w:b w:val="0"/>
                <w:bCs w:val="0"/>
                <w:sz w:val="20"/>
              </w:rPr>
            </w:pPr>
          </w:p>
        </w:tc>
        <w:tc>
          <w:tcPr>
            <w:tcW w:w="2236" w:type="dxa"/>
            <w:hideMark/>
          </w:tcPr>
          <w:p w14:paraId="4B6595D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f) la taille et le nombre de sites, leur emplacement géographique et toutes spécificités multisites ;</w:t>
            </w:r>
          </w:p>
        </w:tc>
        <w:tc>
          <w:tcPr>
            <w:tcW w:w="907" w:type="dxa"/>
            <w:vMerge/>
            <w:hideMark/>
          </w:tcPr>
          <w:p w14:paraId="1331F17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3828" w:type="dxa"/>
            <w:vMerge/>
            <w:hideMark/>
          </w:tcPr>
          <w:p w14:paraId="7E08F09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tcPr>
          <w:p w14:paraId="4DBAE44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vMerge/>
            <w:hideMark/>
          </w:tcPr>
          <w:p w14:paraId="3803B271" w14:textId="2B8CA5A1"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1105" w:type="dxa"/>
            <w:vMerge/>
            <w:hideMark/>
          </w:tcPr>
          <w:p w14:paraId="00E1793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070" w:type="dxa"/>
          </w:tcPr>
          <w:p w14:paraId="3AE372B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05A1C986" w14:textId="42B46458" w:rsidTr="00CE48F1">
        <w:trPr>
          <w:trHeight w:val="600"/>
        </w:trPr>
        <w:tc>
          <w:tcPr>
            <w:cnfStyle w:val="001000000000" w:firstRow="0" w:lastRow="0" w:firstColumn="1" w:lastColumn="0" w:oddVBand="0" w:evenVBand="0" w:oddHBand="0" w:evenHBand="0" w:firstRowFirstColumn="0" w:firstRowLastColumn="0" w:lastRowFirstColumn="0" w:lastRowLastColumn="0"/>
            <w:tcW w:w="907" w:type="dxa"/>
            <w:vMerge/>
            <w:hideMark/>
          </w:tcPr>
          <w:p w14:paraId="53E0D4B5" w14:textId="77777777" w:rsidR="00E27FE0" w:rsidRPr="002313F3" w:rsidRDefault="00E27FE0" w:rsidP="00CE48F1">
            <w:pPr>
              <w:rPr>
                <w:rFonts w:asciiTheme="minorHAnsi" w:hAnsiTheme="minorHAnsi" w:cstheme="minorHAnsi"/>
                <w:b w:val="0"/>
                <w:bCs w:val="0"/>
                <w:sz w:val="20"/>
              </w:rPr>
            </w:pPr>
          </w:p>
        </w:tc>
        <w:tc>
          <w:tcPr>
            <w:tcW w:w="2236" w:type="dxa"/>
            <w:hideMark/>
          </w:tcPr>
          <w:p w14:paraId="734CF68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g) les risques associés aux produits, aux processus ou aux activités de l’organisme ;</w:t>
            </w:r>
          </w:p>
        </w:tc>
        <w:tc>
          <w:tcPr>
            <w:tcW w:w="907" w:type="dxa"/>
            <w:vMerge/>
            <w:hideMark/>
          </w:tcPr>
          <w:p w14:paraId="6A9B4E0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3828" w:type="dxa"/>
            <w:vMerge/>
            <w:hideMark/>
          </w:tcPr>
          <w:p w14:paraId="630DFF7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tcPr>
          <w:p w14:paraId="1725741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vMerge/>
            <w:hideMark/>
          </w:tcPr>
          <w:p w14:paraId="2B0F7C83" w14:textId="15D49359"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1105" w:type="dxa"/>
            <w:vMerge/>
            <w:hideMark/>
          </w:tcPr>
          <w:p w14:paraId="0C286B1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070" w:type="dxa"/>
          </w:tcPr>
          <w:p w14:paraId="1D7A4E9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3E250E5" w14:textId="78261A1F" w:rsidTr="00CE48F1">
        <w:trPr>
          <w:trHeight w:val="1920"/>
        </w:trPr>
        <w:tc>
          <w:tcPr>
            <w:cnfStyle w:val="001000000000" w:firstRow="0" w:lastRow="0" w:firstColumn="1" w:lastColumn="0" w:oddVBand="0" w:evenVBand="0" w:oddHBand="0" w:evenHBand="0" w:firstRowFirstColumn="0" w:firstRowLastColumn="0" w:lastRowFirstColumn="0" w:lastRowLastColumn="0"/>
            <w:tcW w:w="907" w:type="dxa"/>
            <w:vMerge/>
            <w:hideMark/>
          </w:tcPr>
          <w:p w14:paraId="2ABCBD92" w14:textId="77777777" w:rsidR="00E27FE0" w:rsidRPr="002313F3" w:rsidRDefault="00E27FE0" w:rsidP="00CE48F1">
            <w:pPr>
              <w:rPr>
                <w:rFonts w:asciiTheme="minorHAnsi" w:hAnsiTheme="minorHAnsi" w:cstheme="minorHAnsi"/>
                <w:b w:val="0"/>
                <w:bCs w:val="0"/>
                <w:sz w:val="20"/>
              </w:rPr>
            </w:pPr>
          </w:p>
        </w:tc>
        <w:tc>
          <w:tcPr>
            <w:tcW w:w="2236" w:type="dxa"/>
            <w:hideMark/>
          </w:tcPr>
          <w:p w14:paraId="1FE3375F" w14:textId="77777777" w:rsidR="00E27FE0"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h) si les audits sont combinés, conjoints ou intégrés.</w:t>
            </w:r>
          </w:p>
          <w:p w14:paraId="25C1641B" w14:textId="11F284F4"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Quand des critères de compétences supplémentaires ont été déterminés pour un programme de certification spécifique, par exemple l’ISO/TS 22003 ou l’ISO/IEC 27006, ces critères doivent être appliqués.</w:t>
            </w:r>
          </w:p>
        </w:tc>
        <w:tc>
          <w:tcPr>
            <w:tcW w:w="907" w:type="dxa"/>
            <w:vMerge/>
            <w:hideMark/>
          </w:tcPr>
          <w:p w14:paraId="072A200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3828" w:type="dxa"/>
            <w:vMerge/>
            <w:hideMark/>
          </w:tcPr>
          <w:p w14:paraId="761B5334"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608" w:type="dxa"/>
          </w:tcPr>
          <w:p w14:paraId="500E259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vMerge/>
            <w:hideMark/>
          </w:tcPr>
          <w:p w14:paraId="1153E79B" w14:textId="12E4012F"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1105" w:type="dxa"/>
            <w:vMerge/>
            <w:hideMark/>
          </w:tcPr>
          <w:p w14:paraId="5AE8E69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070" w:type="dxa"/>
          </w:tcPr>
          <w:p w14:paraId="68C50F9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4C5CED94" w14:textId="6AF42FA1" w:rsidTr="00CE48F1">
        <w:trPr>
          <w:trHeight w:val="3900"/>
        </w:trPr>
        <w:tc>
          <w:tcPr>
            <w:cnfStyle w:val="001000000000" w:firstRow="0" w:lastRow="0" w:firstColumn="1" w:lastColumn="0" w:oddVBand="0" w:evenVBand="0" w:oddHBand="0" w:evenHBand="0" w:firstRowFirstColumn="0" w:firstRowLastColumn="0" w:lastRowFirstColumn="0" w:lastRowLastColumn="0"/>
            <w:tcW w:w="907" w:type="dxa"/>
            <w:noWrap/>
            <w:hideMark/>
          </w:tcPr>
          <w:p w14:paraId="0C464393"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lastRenderedPageBreak/>
              <w:t>9.1.4.3</w:t>
            </w:r>
          </w:p>
        </w:tc>
        <w:tc>
          <w:tcPr>
            <w:tcW w:w="2236" w:type="dxa"/>
            <w:hideMark/>
          </w:tcPr>
          <w:p w14:paraId="7E9B24D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La durée de l’audit du système de management et sa justification doivent être enregistrées</w:t>
            </w:r>
          </w:p>
        </w:tc>
        <w:tc>
          <w:tcPr>
            <w:tcW w:w="907" w:type="dxa"/>
            <w:noWrap/>
            <w:hideMark/>
          </w:tcPr>
          <w:p w14:paraId="20E0F5B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9.1.4.3</w:t>
            </w:r>
          </w:p>
        </w:tc>
        <w:tc>
          <w:tcPr>
            <w:tcW w:w="3828" w:type="dxa"/>
            <w:hideMark/>
          </w:tcPr>
          <w:p w14:paraId="713E59F2" w14:textId="672934B4"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Afin de déterminer le temps d’audit nécessaire et de le documenter, l’organisme de certification doit déterminer:</w:t>
            </w:r>
            <w:r w:rsidRPr="002313F3">
              <w:rPr>
                <w:rFonts w:asciiTheme="minorHAnsi" w:hAnsiTheme="minorHAnsi" w:cstheme="minorHAnsi"/>
                <w:b/>
                <w:bCs/>
                <w:sz w:val="20"/>
              </w:rPr>
              <w:br/>
              <w:t>a) le temps de préparation de l’audit;</w:t>
            </w:r>
            <w:r w:rsidRPr="002313F3">
              <w:rPr>
                <w:rFonts w:asciiTheme="minorHAnsi" w:hAnsiTheme="minorHAnsi" w:cstheme="minorHAnsi"/>
                <w:b/>
                <w:bCs/>
                <w:sz w:val="20"/>
              </w:rPr>
              <w:br/>
              <w:t>b) la durée minimale de l’audit pour chaque site, qu’il s’agisse d’un audit sur site ou d’un audit à</w:t>
            </w:r>
            <w:r w:rsidRPr="002313F3">
              <w:rPr>
                <w:rFonts w:asciiTheme="minorHAnsi" w:hAnsiTheme="minorHAnsi" w:cstheme="minorHAnsi"/>
                <w:b/>
                <w:bCs/>
                <w:sz w:val="20"/>
              </w:rPr>
              <w:br/>
              <w:t>distance, tel que spécifié dans les paragraphes B.1, B.2 et B.3, ainsi que dans le Tableau B.1;</w:t>
            </w:r>
            <w:r w:rsidRPr="002313F3">
              <w:rPr>
                <w:rFonts w:asciiTheme="minorHAnsi" w:hAnsiTheme="minorHAnsi" w:cstheme="minorHAnsi"/>
                <w:b/>
                <w:bCs/>
                <w:sz w:val="20"/>
              </w:rPr>
              <w:br/>
              <w:t>c) le temps nécessaire à l’établissement des rapports et, le cas échéant, à la conduite des activités post audit;</w:t>
            </w:r>
            <w:r w:rsidRPr="002313F3">
              <w:rPr>
                <w:rFonts w:asciiTheme="minorHAnsi" w:hAnsiTheme="minorHAnsi" w:cstheme="minorHAnsi"/>
                <w:b/>
                <w:bCs/>
                <w:sz w:val="20"/>
              </w:rPr>
              <w:br/>
              <w:t>d) une augmentation du temps d’audit peut être requise lorsque des réunions supplémentaires sont</w:t>
            </w:r>
            <w:r w:rsidRPr="002313F3">
              <w:rPr>
                <w:rFonts w:asciiTheme="minorHAnsi" w:hAnsiTheme="minorHAnsi" w:cstheme="minorHAnsi"/>
                <w:b/>
                <w:bCs/>
                <w:sz w:val="20"/>
              </w:rPr>
              <w:br/>
              <w:t>nécessaires, par exemple des réunions de revue, de coordination, d’information de l’équipe d’audit;</w:t>
            </w:r>
            <w:r w:rsidRPr="002313F3">
              <w:rPr>
                <w:rFonts w:asciiTheme="minorHAnsi" w:hAnsiTheme="minorHAnsi" w:cstheme="minorHAnsi"/>
                <w:b/>
                <w:bCs/>
                <w:sz w:val="20"/>
              </w:rPr>
              <w:br/>
              <w:t>e) dans les cas applicables et convenus, le temps nécessaire pour assurer un audit à distance efficace ou l’utilisation des technologies de l’information et de la communication (TIC).</w:t>
            </w:r>
          </w:p>
        </w:tc>
        <w:tc>
          <w:tcPr>
            <w:tcW w:w="2608" w:type="dxa"/>
          </w:tcPr>
          <w:p w14:paraId="234DB4E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000D802B" w14:textId="49C4F091"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20FAB0C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34D4258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6D0A35AA" w14:textId="49B09791" w:rsidTr="00CE48F1">
        <w:trPr>
          <w:trHeight w:val="4620"/>
        </w:trPr>
        <w:tc>
          <w:tcPr>
            <w:cnfStyle w:val="001000000000" w:firstRow="0" w:lastRow="0" w:firstColumn="1" w:lastColumn="0" w:oddVBand="0" w:evenVBand="0" w:oddHBand="0" w:evenHBand="0" w:firstRowFirstColumn="0" w:firstRowLastColumn="0" w:lastRowFirstColumn="0" w:lastRowLastColumn="0"/>
            <w:tcW w:w="907" w:type="dxa"/>
            <w:vMerge w:val="restart"/>
            <w:noWrap/>
            <w:hideMark/>
          </w:tcPr>
          <w:p w14:paraId="24133716"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lastRenderedPageBreak/>
              <w:t>9.1.5</w:t>
            </w:r>
          </w:p>
        </w:tc>
        <w:tc>
          <w:tcPr>
            <w:tcW w:w="2236" w:type="dxa"/>
            <w:vMerge w:val="restart"/>
            <w:hideMark/>
          </w:tcPr>
          <w:p w14:paraId="10350530" w14:textId="2CE2A7C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Échantillonnage multisite </w:t>
            </w:r>
            <w:r>
              <w:rPr>
                <w:rFonts w:asciiTheme="minorHAnsi" w:hAnsiTheme="minorHAnsi" w:cstheme="minorHAnsi"/>
                <w:b/>
                <w:bCs/>
                <w:sz w:val="20"/>
              </w:rPr>
              <w:t>l</w:t>
            </w:r>
            <w:r w:rsidRPr="002313F3">
              <w:rPr>
                <w:rFonts w:asciiTheme="minorHAnsi" w:hAnsiTheme="minorHAnsi" w:cstheme="minorHAnsi"/>
                <w:b/>
                <w:bCs/>
                <w:sz w:val="20"/>
              </w:rPr>
              <w:t>orsqu’il est nécessaire de procéder à un échantillonnage multisite pour auditer le système de</w:t>
            </w:r>
            <w:r>
              <w:rPr>
                <w:rFonts w:asciiTheme="minorHAnsi" w:hAnsiTheme="minorHAnsi" w:cstheme="minorHAnsi"/>
                <w:b/>
                <w:bCs/>
                <w:sz w:val="20"/>
              </w:rPr>
              <w:t xml:space="preserve"> </w:t>
            </w:r>
            <w:r w:rsidRPr="002313F3">
              <w:rPr>
                <w:rFonts w:asciiTheme="minorHAnsi" w:hAnsiTheme="minorHAnsi" w:cstheme="minorHAnsi"/>
                <w:b/>
                <w:bCs/>
                <w:sz w:val="20"/>
              </w:rPr>
              <w:t>management d’un client couvrant la même activité en plusieurs emplacements géographiques, l’organisme</w:t>
            </w:r>
            <w:r>
              <w:rPr>
                <w:rFonts w:asciiTheme="minorHAnsi" w:hAnsiTheme="minorHAnsi" w:cstheme="minorHAnsi"/>
                <w:b/>
                <w:bCs/>
                <w:sz w:val="20"/>
              </w:rPr>
              <w:t xml:space="preserve"> </w:t>
            </w:r>
            <w:r w:rsidRPr="002313F3">
              <w:rPr>
                <w:rFonts w:asciiTheme="minorHAnsi" w:hAnsiTheme="minorHAnsi" w:cstheme="minorHAnsi"/>
                <w:b/>
                <w:bCs/>
                <w:sz w:val="20"/>
              </w:rPr>
              <w:t>de certification doit élaborer un programme d’échantillonnage afin de garantir une évaluation correcte</w:t>
            </w:r>
            <w:r>
              <w:rPr>
                <w:rFonts w:asciiTheme="minorHAnsi" w:hAnsiTheme="minorHAnsi" w:cstheme="minorHAnsi"/>
                <w:b/>
                <w:bCs/>
                <w:sz w:val="20"/>
              </w:rPr>
              <w:t xml:space="preserve"> </w:t>
            </w:r>
            <w:r w:rsidRPr="002313F3">
              <w:rPr>
                <w:rFonts w:asciiTheme="minorHAnsi" w:hAnsiTheme="minorHAnsi" w:cstheme="minorHAnsi"/>
                <w:b/>
                <w:bCs/>
                <w:sz w:val="20"/>
              </w:rPr>
              <w:t xml:space="preserve">du système de </w:t>
            </w:r>
            <w:r w:rsidRPr="002313F3">
              <w:rPr>
                <w:rFonts w:asciiTheme="minorHAnsi" w:hAnsiTheme="minorHAnsi" w:cstheme="minorHAnsi"/>
                <w:b/>
                <w:bCs/>
                <w:sz w:val="20"/>
              </w:rPr>
              <w:lastRenderedPageBreak/>
              <w:t>management. Les fondements du plan d’échantillonnage doivent être documentés pour</w:t>
            </w:r>
            <w:r w:rsidRPr="002313F3">
              <w:rPr>
                <w:rFonts w:asciiTheme="minorHAnsi" w:hAnsiTheme="minorHAnsi" w:cstheme="minorHAnsi"/>
                <w:b/>
                <w:bCs/>
                <w:sz w:val="20"/>
              </w:rPr>
              <w:br/>
              <w:t>chaque client. Pour certains programmes de certification spécifiques, l’échantillonnage n’est pas autorisé,</w:t>
            </w:r>
            <w:r w:rsidRPr="002313F3">
              <w:rPr>
                <w:rFonts w:asciiTheme="minorHAnsi" w:hAnsiTheme="minorHAnsi" w:cstheme="minorHAnsi"/>
                <w:b/>
                <w:bCs/>
                <w:sz w:val="20"/>
              </w:rPr>
              <w:br/>
              <w:t>et quand des critères spécifiques ont été déterminés pour un programme de certification donné, par</w:t>
            </w:r>
            <w:r w:rsidRPr="002313F3">
              <w:rPr>
                <w:rFonts w:asciiTheme="minorHAnsi" w:hAnsiTheme="minorHAnsi" w:cstheme="minorHAnsi"/>
                <w:b/>
                <w:bCs/>
                <w:sz w:val="20"/>
              </w:rPr>
              <w:br/>
              <w:t>exemple dans l’ISO/TS 22003, ces critères doivent s’appliquer.</w:t>
            </w:r>
          </w:p>
        </w:tc>
        <w:tc>
          <w:tcPr>
            <w:tcW w:w="907" w:type="dxa"/>
            <w:noWrap/>
            <w:hideMark/>
          </w:tcPr>
          <w:p w14:paraId="5D14ACC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lastRenderedPageBreak/>
              <w:t>9.1.5.1</w:t>
            </w:r>
          </w:p>
        </w:tc>
        <w:tc>
          <w:tcPr>
            <w:tcW w:w="3828" w:type="dxa"/>
            <w:hideMark/>
          </w:tcPr>
          <w:p w14:paraId="7D34F374" w14:textId="454B9F86"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L’ISO/IEC 17021-1</w:t>
            </w:r>
            <w:r>
              <w:rPr>
                <w:rFonts w:asciiTheme="minorHAnsi" w:hAnsiTheme="minorHAnsi" w:cstheme="minorHAnsi"/>
                <w:b/>
                <w:bCs/>
                <w:sz w:val="20"/>
              </w:rPr>
              <w:t xml:space="preserve"> </w:t>
            </w:r>
            <w:r w:rsidRPr="002313F3">
              <w:rPr>
                <w:rFonts w:asciiTheme="minorHAnsi" w:hAnsiTheme="minorHAnsi" w:cstheme="minorHAnsi"/>
                <w:b/>
                <w:bCs/>
                <w:sz w:val="20"/>
              </w:rPr>
              <w:t>:</w:t>
            </w:r>
            <w:r>
              <w:rPr>
                <w:rFonts w:asciiTheme="minorHAnsi" w:hAnsiTheme="minorHAnsi" w:cstheme="minorHAnsi"/>
                <w:b/>
                <w:bCs/>
                <w:sz w:val="20"/>
              </w:rPr>
              <w:t xml:space="preserve"> </w:t>
            </w:r>
            <w:r w:rsidRPr="002313F3">
              <w:rPr>
                <w:rFonts w:asciiTheme="minorHAnsi" w:hAnsiTheme="minorHAnsi" w:cstheme="minorHAnsi"/>
                <w:b/>
                <w:bCs/>
                <w:sz w:val="20"/>
              </w:rPr>
              <w:t>2015, 9.1.5, doit être respectée.</w:t>
            </w:r>
          </w:p>
        </w:tc>
        <w:tc>
          <w:tcPr>
            <w:tcW w:w="2608" w:type="dxa"/>
          </w:tcPr>
          <w:p w14:paraId="113F434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736CACF0" w14:textId="7722E886"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2B33608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16B3624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CF0B413" w14:textId="7ACD2383" w:rsidTr="00CE48F1">
        <w:trPr>
          <w:trHeight w:val="3495"/>
        </w:trPr>
        <w:tc>
          <w:tcPr>
            <w:cnfStyle w:val="001000000000" w:firstRow="0" w:lastRow="0" w:firstColumn="1" w:lastColumn="0" w:oddVBand="0" w:evenVBand="0" w:oddHBand="0" w:evenHBand="0" w:firstRowFirstColumn="0" w:firstRowLastColumn="0" w:lastRowFirstColumn="0" w:lastRowLastColumn="0"/>
            <w:tcW w:w="907" w:type="dxa"/>
            <w:vMerge/>
            <w:hideMark/>
          </w:tcPr>
          <w:p w14:paraId="3BB99DD0" w14:textId="77777777" w:rsidR="00E27FE0" w:rsidRPr="002313F3" w:rsidRDefault="00E27FE0" w:rsidP="00CE48F1">
            <w:pPr>
              <w:rPr>
                <w:rFonts w:asciiTheme="minorHAnsi" w:hAnsiTheme="minorHAnsi" w:cstheme="minorHAnsi"/>
                <w:b w:val="0"/>
                <w:bCs w:val="0"/>
                <w:sz w:val="20"/>
              </w:rPr>
            </w:pPr>
          </w:p>
        </w:tc>
        <w:tc>
          <w:tcPr>
            <w:tcW w:w="2236" w:type="dxa"/>
            <w:vMerge/>
            <w:hideMark/>
          </w:tcPr>
          <w:p w14:paraId="5AE8137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noWrap/>
            <w:hideMark/>
          </w:tcPr>
          <w:p w14:paraId="1440CE4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9.1.5.2</w:t>
            </w:r>
          </w:p>
        </w:tc>
        <w:tc>
          <w:tcPr>
            <w:tcW w:w="3828" w:type="dxa"/>
            <w:hideMark/>
          </w:tcPr>
          <w:p w14:paraId="1537075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Une organisation multisite est une organisation comportant une fonction centralisée identifiée au niveau de laquelle certaines activités de SMSDA sont planifiées, maîtrisées ou gérées, ainsi qu’un réseau de sites au niveau desquels ces activités sont entièrement ou partiellement réalisées. Des exemples d’organisations multisites possibles </w:t>
            </w:r>
            <w:proofErr w:type="gramStart"/>
            <w:r w:rsidRPr="002313F3">
              <w:rPr>
                <w:rFonts w:asciiTheme="minorHAnsi" w:hAnsiTheme="minorHAnsi" w:cstheme="minorHAnsi"/>
                <w:b/>
                <w:bCs/>
                <w:sz w:val="20"/>
              </w:rPr>
              <w:t>sont:</w:t>
            </w:r>
            <w:proofErr w:type="gramEnd"/>
            <w:r w:rsidRPr="002313F3">
              <w:rPr>
                <w:rFonts w:asciiTheme="minorHAnsi" w:hAnsiTheme="minorHAnsi" w:cstheme="minorHAnsi"/>
                <w:b/>
                <w:bCs/>
                <w:sz w:val="20"/>
              </w:rPr>
              <w:br/>
              <w:t>— les organisations opérant avec des franchises;</w:t>
            </w:r>
            <w:r w:rsidRPr="002313F3">
              <w:rPr>
                <w:rFonts w:asciiTheme="minorHAnsi" w:hAnsiTheme="minorHAnsi" w:cstheme="minorHAnsi"/>
                <w:b/>
                <w:bCs/>
                <w:sz w:val="20"/>
              </w:rPr>
              <w:br/>
              <w:t>— les groupements de producteurs (pour les catégories A et B);</w:t>
            </w:r>
            <w:r w:rsidRPr="002313F3">
              <w:rPr>
                <w:rFonts w:asciiTheme="minorHAnsi" w:hAnsiTheme="minorHAnsi" w:cstheme="minorHAnsi"/>
                <w:b/>
                <w:bCs/>
                <w:sz w:val="20"/>
              </w:rPr>
              <w:br/>
              <w:t>— une entreprise manufacturière disposant d’un ou de plusieurs sites de production et d’un réseau de bureaux de vente;</w:t>
            </w:r>
            <w:r w:rsidRPr="002313F3">
              <w:rPr>
                <w:rFonts w:asciiTheme="minorHAnsi" w:hAnsiTheme="minorHAnsi" w:cstheme="minorHAnsi"/>
                <w:b/>
                <w:bCs/>
                <w:sz w:val="20"/>
              </w:rPr>
              <w:br/>
              <w:t>— les organisations de services disposant de plusieurs sites offrant un service analogue;</w:t>
            </w:r>
          </w:p>
        </w:tc>
        <w:tc>
          <w:tcPr>
            <w:tcW w:w="2608" w:type="dxa"/>
          </w:tcPr>
          <w:p w14:paraId="0CB6BD9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7B204966" w14:textId="43040814"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20ACB6E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2AD858D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589C7F0" w14:textId="48D6154A" w:rsidTr="00CE48F1">
        <w:trPr>
          <w:trHeight w:val="3396"/>
        </w:trPr>
        <w:tc>
          <w:tcPr>
            <w:cnfStyle w:val="001000000000" w:firstRow="0" w:lastRow="0" w:firstColumn="1" w:lastColumn="0" w:oddVBand="0" w:evenVBand="0" w:oddHBand="0" w:evenHBand="0" w:firstRowFirstColumn="0" w:firstRowLastColumn="0" w:lastRowFirstColumn="0" w:lastRowLastColumn="0"/>
            <w:tcW w:w="907" w:type="dxa"/>
            <w:vMerge/>
            <w:hideMark/>
          </w:tcPr>
          <w:p w14:paraId="59390AAD" w14:textId="77777777" w:rsidR="00E27FE0" w:rsidRPr="002313F3" w:rsidRDefault="00E27FE0" w:rsidP="00CE48F1">
            <w:pPr>
              <w:rPr>
                <w:rFonts w:asciiTheme="minorHAnsi" w:hAnsiTheme="minorHAnsi" w:cstheme="minorHAnsi"/>
                <w:b w:val="0"/>
                <w:bCs w:val="0"/>
                <w:sz w:val="20"/>
              </w:rPr>
            </w:pPr>
          </w:p>
        </w:tc>
        <w:tc>
          <w:tcPr>
            <w:tcW w:w="2236" w:type="dxa"/>
            <w:vMerge/>
            <w:hideMark/>
          </w:tcPr>
          <w:p w14:paraId="7C5B7D8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noWrap/>
            <w:hideMark/>
          </w:tcPr>
          <w:p w14:paraId="5CEB15A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9.1.5.3</w:t>
            </w:r>
          </w:p>
        </w:tc>
        <w:tc>
          <w:tcPr>
            <w:tcW w:w="3828" w:type="dxa"/>
            <w:hideMark/>
          </w:tcPr>
          <w:p w14:paraId="41AAACAA" w14:textId="14AF6144"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L’organisme de certification doit démontrer que l’échantillonnage des sites ne nuit pas à l’efficacité de l’audit. Lorsqu’un échantillonnage multisite est entrepris, l’organisme de certification doit en justifier et documenter les raisons sur la base des conditions suivantes:</w:t>
            </w:r>
            <w:r w:rsidRPr="002313F3">
              <w:rPr>
                <w:rFonts w:asciiTheme="minorHAnsi" w:hAnsiTheme="minorHAnsi" w:cstheme="minorHAnsi"/>
                <w:b/>
                <w:bCs/>
                <w:sz w:val="20"/>
              </w:rPr>
              <w:br/>
              <w:t>a) les sites opèrent sous un seul SMSDA contrôlé et administré de façon centralisée;</w:t>
            </w:r>
            <w:r w:rsidRPr="002313F3">
              <w:rPr>
                <w:rFonts w:asciiTheme="minorHAnsi" w:hAnsiTheme="minorHAnsi" w:cstheme="minorHAnsi"/>
                <w:b/>
                <w:bCs/>
                <w:sz w:val="20"/>
              </w:rPr>
              <w:br/>
              <w:t>b) les sites faisant l’objet d’un échantillonnage se ressemblent (sous-catégorie de la chaîne alimentaire, emplacement géographique, processus et technologies, taille et complexité, exigences légales et réglementaires, exigences des clients, dangers liés à la sécurité des denrées alimentaires et mesures de maîtrise);</w:t>
            </w:r>
            <w:r w:rsidRPr="002313F3">
              <w:rPr>
                <w:rFonts w:asciiTheme="minorHAnsi" w:hAnsiTheme="minorHAnsi" w:cstheme="minorHAnsi"/>
                <w:b/>
                <w:bCs/>
                <w:sz w:val="20"/>
              </w:rPr>
              <w:br/>
              <w:t>c) la fonction centralisée fait partie de l’organisation, elle est clairement identifiée et n’est pas sous-traitée à une organisation externe;</w:t>
            </w:r>
            <w:r w:rsidRPr="002313F3">
              <w:rPr>
                <w:rFonts w:asciiTheme="minorHAnsi" w:hAnsiTheme="minorHAnsi" w:cstheme="minorHAnsi"/>
                <w:b/>
                <w:bCs/>
                <w:sz w:val="20"/>
              </w:rPr>
              <w:br/>
              <w:t>d) tous les sites ont un lien juridique ou contractuel avec la fonction centralisée;</w:t>
            </w:r>
            <w:r w:rsidRPr="002313F3">
              <w:rPr>
                <w:rFonts w:asciiTheme="minorHAnsi" w:hAnsiTheme="minorHAnsi" w:cstheme="minorHAnsi"/>
                <w:b/>
                <w:bCs/>
                <w:sz w:val="20"/>
              </w:rPr>
              <w:br/>
              <w:t>e) la fonction centralisée dispose, au sein de l’organisation, de l’autorité pour définir, établir et tenir à jour le SMSDA;</w:t>
            </w:r>
            <w:r w:rsidRPr="002313F3">
              <w:rPr>
                <w:rFonts w:asciiTheme="minorHAnsi" w:hAnsiTheme="minorHAnsi" w:cstheme="minorHAnsi"/>
                <w:b/>
                <w:bCs/>
                <w:sz w:val="20"/>
              </w:rPr>
              <w:br/>
              <w:t>f) tous les sites sont soumis au programme d’audit interne de l’organisation et ont fait l’objet d’un audit;</w:t>
            </w:r>
            <w:r w:rsidRPr="002313F3">
              <w:rPr>
                <w:rFonts w:asciiTheme="minorHAnsi" w:hAnsiTheme="minorHAnsi" w:cstheme="minorHAnsi"/>
                <w:b/>
                <w:bCs/>
                <w:sz w:val="20"/>
              </w:rPr>
              <w:br/>
            </w:r>
            <w:r w:rsidRPr="002313F3">
              <w:rPr>
                <w:rFonts w:asciiTheme="minorHAnsi" w:hAnsiTheme="minorHAnsi" w:cstheme="minorHAnsi"/>
                <w:b/>
                <w:bCs/>
                <w:sz w:val="20"/>
              </w:rPr>
              <w:lastRenderedPageBreak/>
              <w:t>g) les constats d’audit sur un site sont considérés comme indicatifs de l’ensemble du SMSDA et des actions correctives sont mises en œuvre en conséquence;</w:t>
            </w:r>
            <w:r w:rsidRPr="002313F3">
              <w:rPr>
                <w:rFonts w:asciiTheme="minorHAnsi" w:hAnsiTheme="minorHAnsi" w:cstheme="minorHAnsi"/>
                <w:b/>
                <w:bCs/>
                <w:sz w:val="20"/>
              </w:rPr>
              <w:br/>
              <w:t>h) la fonction centralisée est chargée de veiller à ce que les résultats de l’évaluation des performances et les plaintes des clients provenant de tous les sites soient collectés et analysés;</w:t>
            </w:r>
            <w:r w:rsidRPr="002313F3">
              <w:rPr>
                <w:rFonts w:asciiTheme="minorHAnsi" w:hAnsiTheme="minorHAnsi" w:cstheme="minorHAnsi"/>
                <w:b/>
                <w:bCs/>
                <w:sz w:val="20"/>
              </w:rPr>
              <w:br/>
              <w:t>i) le SMSDA de l’organisation fait l’objet d’une revue de direction centralisée;</w:t>
            </w:r>
            <w:r w:rsidRPr="002313F3">
              <w:rPr>
                <w:rFonts w:asciiTheme="minorHAnsi" w:hAnsiTheme="minorHAnsi" w:cstheme="minorHAnsi"/>
                <w:b/>
                <w:bCs/>
                <w:sz w:val="20"/>
              </w:rPr>
              <w:br/>
              <w:t>j) la fonction centralisée a le pouvoir d’initier l’amélioration continue du SMSDA.</w:t>
            </w:r>
          </w:p>
        </w:tc>
        <w:tc>
          <w:tcPr>
            <w:tcW w:w="2608" w:type="dxa"/>
          </w:tcPr>
          <w:p w14:paraId="191AA93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4BAEDF68" w14:textId="5993E08F"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0EBD76F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57FB8D2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2B3912B2" w14:textId="6862DFC4" w:rsidTr="00CE48F1">
        <w:trPr>
          <w:trHeight w:val="1553"/>
        </w:trPr>
        <w:tc>
          <w:tcPr>
            <w:cnfStyle w:val="001000000000" w:firstRow="0" w:lastRow="0" w:firstColumn="1" w:lastColumn="0" w:oddVBand="0" w:evenVBand="0" w:oddHBand="0" w:evenHBand="0" w:firstRowFirstColumn="0" w:firstRowLastColumn="0" w:lastRowFirstColumn="0" w:lastRowLastColumn="0"/>
            <w:tcW w:w="907" w:type="dxa"/>
            <w:vMerge/>
            <w:hideMark/>
          </w:tcPr>
          <w:p w14:paraId="61C7EC5F" w14:textId="77777777" w:rsidR="00E27FE0" w:rsidRPr="002313F3" w:rsidRDefault="00E27FE0" w:rsidP="00CE48F1">
            <w:pPr>
              <w:rPr>
                <w:rFonts w:asciiTheme="minorHAnsi" w:hAnsiTheme="minorHAnsi" w:cstheme="minorHAnsi"/>
                <w:b w:val="0"/>
                <w:bCs w:val="0"/>
                <w:sz w:val="20"/>
              </w:rPr>
            </w:pPr>
          </w:p>
        </w:tc>
        <w:tc>
          <w:tcPr>
            <w:tcW w:w="2236" w:type="dxa"/>
            <w:vMerge/>
            <w:hideMark/>
          </w:tcPr>
          <w:p w14:paraId="4DC3DC7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noWrap/>
            <w:hideMark/>
          </w:tcPr>
          <w:p w14:paraId="6DEDA6E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9.1.5.4</w:t>
            </w:r>
          </w:p>
        </w:tc>
        <w:tc>
          <w:tcPr>
            <w:tcW w:w="3828" w:type="dxa"/>
            <w:hideMark/>
          </w:tcPr>
          <w:p w14:paraId="5128FEC7" w14:textId="316C1D9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L’utilisation de l’échantillonnage multisite est autorisée pour les catégories A et B. L’échantillonnage peut être appliqué à des organisations multisites, la taille minimale de l’échantillon étant la racine carrée du nombre total des sites : √(x), arrondi au nombre entier supérieur. L’échantillon issu de ce calcul doit être prélevé par catégorie de risque en fonction de la complexité de la production des sites (par exemple, production végétale en plein champ, production de plantes vivaces, production en intérieur ou production animale en plein champ, production animale en intérieur).</w:t>
            </w:r>
            <w:r w:rsidRPr="002313F3">
              <w:rPr>
                <w:rFonts w:asciiTheme="minorHAnsi" w:hAnsiTheme="minorHAnsi" w:cstheme="minorHAnsi"/>
                <w:b/>
                <w:bCs/>
                <w:sz w:val="20"/>
              </w:rPr>
              <w:br/>
              <w:t xml:space="preserve">L’utilisation d’un échantillonnage multisite est autorisée pour les catégories F, G et </w:t>
            </w:r>
            <w:r w:rsidRPr="002313F3">
              <w:rPr>
                <w:rFonts w:asciiTheme="minorHAnsi" w:hAnsiTheme="minorHAnsi" w:cstheme="minorHAnsi"/>
                <w:b/>
                <w:bCs/>
                <w:sz w:val="20"/>
              </w:rPr>
              <w:lastRenderedPageBreak/>
              <w:t xml:space="preserve">uniquement pour les installations aux possibilités de préparation ou de cuisson limitées, telles que le réchauffage ou la friture (par exemple restauration événementielle, cafés, bars) de la catégorie E (voir le Tableau A.1). Pour les organisations comportant 20 sites ou moins, tous les sites doivent être audités. Dans le cas d’organisations de plus de 20 sites, le nombre minimal de sites à échantillonner doit être de 20 plus la racine carrée du nombre total des autres sites : y = 20 + </w:t>
            </w:r>
            <w:proofErr w:type="gramStart"/>
            <w:r w:rsidRPr="002313F3">
              <w:rPr>
                <w:rFonts w:asciiTheme="minorHAnsi" w:hAnsiTheme="minorHAnsi" w:cstheme="minorHAnsi"/>
                <w:b/>
                <w:bCs/>
                <w:sz w:val="20"/>
              </w:rPr>
              <w:t>√(</w:t>
            </w:r>
            <w:proofErr w:type="gramEnd"/>
            <w:r w:rsidRPr="002313F3">
              <w:rPr>
                <w:rFonts w:asciiTheme="minorHAnsi" w:hAnsiTheme="minorHAnsi" w:cstheme="minorHAnsi"/>
                <w:b/>
                <w:bCs/>
                <w:sz w:val="20"/>
              </w:rPr>
              <w:t>x – 20), arrondi au nombre entier supérieur. Ce principe s’applique aux audits de certification initiale, de surveillance et de renouvellement de certification.</w:t>
            </w:r>
            <w:r w:rsidRPr="002313F3">
              <w:rPr>
                <w:rFonts w:asciiTheme="minorHAnsi" w:hAnsiTheme="minorHAnsi" w:cstheme="minorHAnsi"/>
                <w:b/>
                <w:bCs/>
                <w:sz w:val="20"/>
              </w:rPr>
              <w:br/>
              <w:t>L’utilisation d’un échantillonnage multisite n’est pas autorisée pour les autres catégories identifiées à l’Annexe A.</w:t>
            </w:r>
          </w:p>
        </w:tc>
        <w:tc>
          <w:tcPr>
            <w:tcW w:w="2608" w:type="dxa"/>
          </w:tcPr>
          <w:p w14:paraId="0A92486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2154" w:type="dxa"/>
            <w:noWrap/>
            <w:hideMark/>
          </w:tcPr>
          <w:p w14:paraId="2CC2F2BC" w14:textId="2EDA5F99"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1105" w:type="dxa"/>
            <w:noWrap/>
            <w:hideMark/>
          </w:tcPr>
          <w:p w14:paraId="4DE6D2F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070" w:type="dxa"/>
          </w:tcPr>
          <w:p w14:paraId="342F50C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692D8CF8" w14:textId="163B7FD9" w:rsidTr="00CE48F1">
        <w:trPr>
          <w:trHeight w:val="986"/>
        </w:trPr>
        <w:tc>
          <w:tcPr>
            <w:cnfStyle w:val="001000000000" w:firstRow="0" w:lastRow="0" w:firstColumn="1" w:lastColumn="0" w:oddVBand="0" w:evenVBand="0" w:oddHBand="0" w:evenHBand="0" w:firstRowFirstColumn="0" w:firstRowLastColumn="0" w:lastRowFirstColumn="0" w:lastRowLastColumn="0"/>
            <w:tcW w:w="907" w:type="dxa"/>
            <w:vMerge/>
            <w:hideMark/>
          </w:tcPr>
          <w:p w14:paraId="478F07E3" w14:textId="77777777" w:rsidR="00E27FE0" w:rsidRPr="002313F3" w:rsidRDefault="00E27FE0" w:rsidP="00CE48F1">
            <w:pPr>
              <w:rPr>
                <w:rFonts w:asciiTheme="minorHAnsi" w:hAnsiTheme="minorHAnsi" w:cstheme="minorHAnsi"/>
                <w:b w:val="0"/>
                <w:bCs w:val="0"/>
                <w:sz w:val="20"/>
              </w:rPr>
            </w:pPr>
          </w:p>
        </w:tc>
        <w:tc>
          <w:tcPr>
            <w:tcW w:w="2236" w:type="dxa"/>
            <w:vMerge/>
            <w:hideMark/>
          </w:tcPr>
          <w:p w14:paraId="552E656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noWrap/>
            <w:hideMark/>
          </w:tcPr>
          <w:p w14:paraId="6FF52DB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9.1.5.5</w:t>
            </w:r>
          </w:p>
        </w:tc>
        <w:tc>
          <w:tcPr>
            <w:tcW w:w="3828" w:type="dxa"/>
            <w:hideMark/>
          </w:tcPr>
          <w:p w14:paraId="2BE84ECE" w14:textId="324EC59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En cas d’échantillonnage multisite autorisé, l’organisme de certification doit s’assurer (par exemple, par l’intermédiaire de dispositions contractuelles) que l’organisation a réalisé un audit interne sur chaque site au cours de l’année précédant la certification et, le cas échéant, des preuves de l’efficacité des actions correctives doivent être disponibles. Après la certification, l’audit interne annuel doit couvrir tous les sites de l’organisation </w:t>
            </w:r>
            <w:r w:rsidRPr="002313F3">
              <w:rPr>
                <w:rFonts w:asciiTheme="minorHAnsi" w:hAnsiTheme="minorHAnsi" w:cstheme="minorHAnsi"/>
                <w:b/>
                <w:bCs/>
                <w:sz w:val="20"/>
              </w:rPr>
              <w:lastRenderedPageBreak/>
              <w:t>inclus dans le périmètre de la certification de l’organisation</w:t>
            </w:r>
            <w:r>
              <w:rPr>
                <w:rFonts w:asciiTheme="minorHAnsi" w:hAnsiTheme="minorHAnsi" w:cstheme="minorHAnsi"/>
                <w:b/>
                <w:bCs/>
                <w:sz w:val="20"/>
              </w:rPr>
              <w:t xml:space="preserve"> </w:t>
            </w:r>
            <w:r w:rsidRPr="002313F3">
              <w:rPr>
                <w:rFonts w:asciiTheme="minorHAnsi" w:hAnsiTheme="minorHAnsi" w:cstheme="minorHAnsi"/>
                <w:b/>
                <w:bCs/>
                <w:sz w:val="20"/>
              </w:rPr>
              <w:t>multisite et l’efficacité continue des actions correctives doit être démontrée.</w:t>
            </w:r>
          </w:p>
        </w:tc>
        <w:tc>
          <w:tcPr>
            <w:tcW w:w="2608" w:type="dxa"/>
          </w:tcPr>
          <w:p w14:paraId="24C98CA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0A23EFA9" w14:textId="28F04666"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1FADCA1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03A4643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52A8A68" w14:textId="54A5C7FB" w:rsidTr="00CE48F1">
        <w:trPr>
          <w:trHeight w:val="1989"/>
        </w:trPr>
        <w:tc>
          <w:tcPr>
            <w:cnfStyle w:val="001000000000" w:firstRow="0" w:lastRow="0" w:firstColumn="1" w:lastColumn="0" w:oddVBand="0" w:evenVBand="0" w:oddHBand="0" w:evenHBand="0" w:firstRowFirstColumn="0" w:firstRowLastColumn="0" w:lastRowFirstColumn="0" w:lastRowLastColumn="0"/>
            <w:tcW w:w="907" w:type="dxa"/>
            <w:vMerge/>
            <w:hideMark/>
          </w:tcPr>
          <w:p w14:paraId="1385F909" w14:textId="77777777" w:rsidR="00E27FE0" w:rsidRPr="002313F3" w:rsidRDefault="00E27FE0" w:rsidP="00CE48F1">
            <w:pPr>
              <w:rPr>
                <w:rFonts w:asciiTheme="minorHAnsi" w:hAnsiTheme="minorHAnsi" w:cstheme="minorHAnsi"/>
                <w:b w:val="0"/>
                <w:bCs w:val="0"/>
                <w:sz w:val="20"/>
              </w:rPr>
            </w:pPr>
          </w:p>
        </w:tc>
        <w:tc>
          <w:tcPr>
            <w:tcW w:w="2236" w:type="dxa"/>
            <w:vMerge/>
            <w:hideMark/>
          </w:tcPr>
          <w:p w14:paraId="15AF9A2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noWrap/>
            <w:hideMark/>
          </w:tcPr>
          <w:p w14:paraId="0CBA63E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9.1.5.6</w:t>
            </w:r>
          </w:p>
        </w:tc>
        <w:tc>
          <w:tcPr>
            <w:tcW w:w="3828" w:type="dxa"/>
            <w:hideMark/>
          </w:tcPr>
          <w:p w14:paraId="65974731" w14:textId="2AF84559"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Lorsque l’échantillonnage multisite est autorisé, l’organisme de certification doit définir</w:t>
            </w:r>
            <w:r>
              <w:rPr>
                <w:rFonts w:asciiTheme="minorHAnsi" w:hAnsiTheme="minorHAnsi" w:cstheme="minorHAnsi"/>
                <w:b/>
                <w:bCs/>
                <w:sz w:val="20"/>
              </w:rPr>
              <w:t xml:space="preserve"> </w:t>
            </w:r>
            <w:r w:rsidRPr="002313F3">
              <w:rPr>
                <w:rFonts w:asciiTheme="minorHAnsi" w:hAnsiTheme="minorHAnsi" w:cstheme="minorHAnsi"/>
                <w:b/>
                <w:bCs/>
                <w:sz w:val="20"/>
              </w:rPr>
              <w:t>et utiliser un programme d’échantillonnage afin de garantir un audit efficace du SMSDA dans lequel les</w:t>
            </w:r>
            <w:r>
              <w:rPr>
                <w:rFonts w:asciiTheme="minorHAnsi" w:hAnsiTheme="minorHAnsi" w:cstheme="minorHAnsi"/>
                <w:b/>
                <w:bCs/>
                <w:sz w:val="20"/>
              </w:rPr>
              <w:t xml:space="preserve"> </w:t>
            </w:r>
            <w:r w:rsidRPr="002313F3">
              <w:rPr>
                <w:rFonts w:asciiTheme="minorHAnsi" w:hAnsiTheme="minorHAnsi" w:cstheme="minorHAnsi"/>
                <w:b/>
                <w:bCs/>
                <w:sz w:val="20"/>
              </w:rPr>
              <w:t>conditions suivantes s’appliquent.</w:t>
            </w:r>
            <w:r w:rsidRPr="002313F3">
              <w:rPr>
                <w:rFonts w:asciiTheme="minorHAnsi" w:hAnsiTheme="minorHAnsi" w:cstheme="minorHAnsi"/>
                <w:b/>
                <w:bCs/>
                <w:sz w:val="20"/>
              </w:rPr>
              <w:br/>
              <w:t>a) Un audit de la fonction centralisée concernant le SMSDA doit être réalisé au moins une fois par an</w:t>
            </w:r>
            <w:r>
              <w:rPr>
                <w:rFonts w:asciiTheme="minorHAnsi" w:hAnsiTheme="minorHAnsi" w:cstheme="minorHAnsi"/>
                <w:b/>
                <w:bCs/>
                <w:sz w:val="20"/>
              </w:rPr>
              <w:t xml:space="preserve"> </w:t>
            </w:r>
            <w:r w:rsidRPr="002313F3">
              <w:rPr>
                <w:rFonts w:asciiTheme="minorHAnsi" w:hAnsiTheme="minorHAnsi" w:cstheme="minorHAnsi"/>
                <w:b/>
                <w:bCs/>
                <w:sz w:val="20"/>
              </w:rPr>
              <w:t>par l’organisme de certification avant les audits des sites échantillonnés.</w:t>
            </w:r>
            <w:r w:rsidRPr="002313F3">
              <w:rPr>
                <w:rFonts w:asciiTheme="minorHAnsi" w:hAnsiTheme="minorHAnsi" w:cstheme="minorHAnsi"/>
                <w:b/>
                <w:bCs/>
                <w:sz w:val="20"/>
              </w:rPr>
              <w:br/>
              <w:t>b) Des audits doivent être réalisés au moins une fois par an par l’organisme de certification sur le</w:t>
            </w:r>
            <w:r>
              <w:rPr>
                <w:rFonts w:asciiTheme="minorHAnsi" w:hAnsiTheme="minorHAnsi" w:cstheme="minorHAnsi"/>
                <w:b/>
                <w:bCs/>
                <w:sz w:val="20"/>
              </w:rPr>
              <w:t xml:space="preserve"> </w:t>
            </w:r>
            <w:r w:rsidRPr="002313F3">
              <w:rPr>
                <w:rFonts w:asciiTheme="minorHAnsi" w:hAnsiTheme="minorHAnsi" w:cstheme="minorHAnsi"/>
                <w:b/>
                <w:bCs/>
                <w:sz w:val="20"/>
              </w:rPr>
              <w:t>nombre de sites échantillonnés requis.</w:t>
            </w:r>
            <w:r w:rsidRPr="002313F3">
              <w:rPr>
                <w:rFonts w:asciiTheme="minorHAnsi" w:hAnsiTheme="minorHAnsi" w:cstheme="minorHAnsi"/>
                <w:b/>
                <w:bCs/>
                <w:sz w:val="20"/>
              </w:rPr>
              <w:br/>
              <w:t>c) Les constats d’audit issus des sites échantillonnés doivent être évalués pour déterminer s’ils</w:t>
            </w:r>
            <w:r>
              <w:rPr>
                <w:rFonts w:asciiTheme="minorHAnsi" w:hAnsiTheme="minorHAnsi" w:cstheme="minorHAnsi"/>
                <w:b/>
                <w:bCs/>
                <w:sz w:val="20"/>
              </w:rPr>
              <w:t xml:space="preserve"> </w:t>
            </w:r>
            <w:r w:rsidRPr="002313F3">
              <w:rPr>
                <w:rFonts w:asciiTheme="minorHAnsi" w:hAnsiTheme="minorHAnsi" w:cstheme="minorHAnsi"/>
                <w:b/>
                <w:bCs/>
                <w:sz w:val="20"/>
              </w:rPr>
              <w:t>indiquent une défaillance globale du SMSDA et s’ils peuvent donc être applicables à certains ou à</w:t>
            </w:r>
            <w:r>
              <w:rPr>
                <w:rFonts w:asciiTheme="minorHAnsi" w:hAnsiTheme="minorHAnsi" w:cstheme="minorHAnsi"/>
                <w:b/>
                <w:bCs/>
                <w:sz w:val="20"/>
              </w:rPr>
              <w:t xml:space="preserve"> </w:t>
            </w:r>
            <w:r w:rsidRPr="002313F3">
              <w:rPr>
                <w:rFonts w:asciiTheme="minorHAnsi" w:hAnsiTheme="minorHAnsi" w:cstheme="minorHAnsi"/>
                <w:b/>
                <w:bCs/>
                <w:sz w:val="20"/>
              </w:rPr>
              <w:t>tous les autres sites.</w:t>
            </w:r>
            <w:r w:rsidRPr="002313F3">
              <w:rPr>
                <w:rFonts w:asciiTheme="minorHAnsi" w:hAnsiTheme="minorHAnsi" w:cstheme="minorHAnsi"/>
                <w:b/>
                <w:bCs/>
                <w:sz w:val="20"/>
              </w:rPr>
              <w:br/>
              <w:t>d) Lorsque les constats d’audit issus des sites échantillonnés sont considérés comme étant indicatifs</w:t>
            </w:r>
            <w:r>
              <w:rPr>
                <w:rFonts w:asciiTheme="minorHAnsi" w:hAnsiTheme="minorHAnsi" w:cstheme="minorHAnsi"/>
                <w:b/>
                <w:bCs/>
                <w:sz w:val="20"/>
              </w:rPr>
              <w:t xml:space="preserve"> </w:t>
            </w:r>
            <w:r w:rsidRPr="002313F3">
              <w:rPr>
                <w:rFonts w:asciiTheme="minorHAnsi" w:hAnsiTheme="minorHAnsi" w:cstheme="minorHAnsi"/>
                <w:b/>
                <w:bCs/>
                <w:sz w:val="20"/>
              </w:rPr>
              <w:t>de l’ensemble du SMSDA, des actions correctives doivent être mises en œuvre en conséquence.</w:t>
            </w:r>
            <w:r w:rsidRPr="002313F3">
              <w:rPr>
                <w:rFonts w:asciiTheme="minorHAnsi" w:hAnsiTheme="minorHAnsi" w:cstheme="minorHAnsi"/>
                <w:b/>
                <w:bCs/>
                <w:sz w:val="20"/>
              </w:rPr>
              <w:br/>
              <w:t xml:space="preserve">e) Pour les organisations comportant 20 </w:t>
            </w:r>
            <w:r w:rsidRPr="002313F3">
              <w:rPr>
                <w:rFonts w:asciiTheme="minorHAnsi" w:hAnsiTheme="minorHAnsi" w:cstheme="minorHAnsi"/>
                <w:b/>
                <w:bCs/>
                <w:sz w:val="20"/>
              </w:rPr>
              <w:lastRenderedPageBreak/>
              <w:t>sites ou moins, tous les sites doivent être audités.</w:t>
            </w:r>
            <w:r w:rsidRPr="002313F3">
              <w:rPr>
                <w:rFonts w:asciiTheme="minorHAnsi" w:hAnsiTheme="minorHAnsi" w:cstheme="minorHAnsi"/>
                <w:b/>
                <w:bCs/>
                <w:sz w:val="20"/>
              </w:rPr>
              <w:br/>
              <w:t>L’organisme de certification doit augmenter la taille de l’échantillon ou mettre fin à l’échantillonnage</w:t>
            </w:r>
            <w:r>
              <w:rPr>
                <w:rFonts w:asciiTheme="minorHAnsi" w:hAnsiTheme="minorHAnsi" w:cstheme="minorHAnsi"/>
                <w:b/>
                <w:bCs/>
                <w:sz w:val="20"/>
              </w:rPr>
              <w:t xml:space="preserve"> </w:t>
            </w:r>
            <w:r w:rsidRPr="002313F3">
              <w:rPr>
                <w:rFonts w:asciiTheme="minorHAnsi" w:hAnsiTheme="minorHAnsi" w:cstheme="minorHAnsi"/>
                <w:b/>
                <w:bCs/>
                <w:sz w:val="20"/>
              </w:rPr>
              <w:t>des sites lorsque le SMSDA soumis à la certification n’indique pas sa capacité à atteindre les résultats</w:t>
            </w:r>
            <w:r>
              <w:rPr>
                <w:rFonts w:asciiTheme="minorHAnsi" w:hAnsiTheme="minorHAnsi" w:cstheme="minorHAnsi"/>
                <w:b/>
                <w:bCs/>
                <w:sz w:val="20"/>
              </w:rPr>
              <w:t xml:space="preserve"> </w:t>
            </w:r>
            <w:r w:rsidRPr="002313F3">
              <w:rPr>
                <w:rFonts w:asciiTheme="minorHAnsi" w:hAnsiTheme="minorHAnsi" w:cstheme="minorHAnsi"/>
                <w:b/>
                <w:bCs/>
                <w:sz w:val="20"/>
              </w:rPr>
              <w:t>escomptés.</w:t>
            </w:r>
          </w:p>
        </w:tc>
        <w:tc>
          <w:tcPr>
            <w:tcW w:w="2608" w:type="dxa"/>
          </w:tcPr>
          <w:p w14:paraId="0E3DCDE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77931E6E" w14:textId="63249A3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620356E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76F5C9E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68061FB" w14:textId="4E4F0446" w:rsidTr="00CE48F1">
        <w:trPr>
          <w:trHeight w:val="561"/>
        </w:trPr>
        <w:tc>
          <w:tcPr>
            <w:cnfStyle w:val="001000000000" w:firstRow="0" w:lastRow="0" w:firstColumn="1" w:lastColumn="0" w:oddVBand="0" w:evenVBand="0" w:oddHBand="0" w:evenHBand="0" w:firstRowFirstColumn="0" w:firstRowLastColumn="0" w:lastRowFirstColumn="0" w:lastRowLastColumn="0"/>
            <w:tcW w:w="907" w:type="dxa"/>
            <w:vMerge/>
            <w:hideMark/>
          </w:tcPr>
          <w:p w14:paraId="3C0C761F" w14:textId="77777777" w:rsidR="00E27FE0" w:rsidRPr="002313F3" w:rsidRDefault="00E27FE0" w:rsidP="00CE48F1">
            <w:pPr>
              <w:rPr>
                <w:rFonts w:asciiTheme="minorHAnsi" w:hAnsiTheme="minorHAnsi" w:cstheme="minorHAnsi"/>
                <w:b w:val="0"/>
                <w:bCs w:val="0"/>
                <w:sz w:val="20"/>
              </w:rPr>
            </w:pPr>
          </w:p>
        </w:tc>
        <w:tc>
          <w:tcPr>
            <w:tcW w:w="2236" w:type="dxa"/>
            <w:vMerge/>
            <w:hideMark/>
          </w:tcPr>
          <w:p w14:paraId="451C61E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noWrap/>
            <w:hideMark/>
          </w:tcPr>
          <w:p w14:paraId="6CE477D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9.1.5.7</w:t>
            </w:r>
          </w:p>
        </w:tc>
        <w:tc>
          <w:tcPr>
            <w:tcW w:w="3828" w:type="dxa"/>
            <w:hideMark/>
          </w:tcPr>
          <w:p w14:paraId="13D6514B" w14:textId="5D35FE4D"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L’échantillon doit être en partie sélectif et en partie aléatoire, et doit permettre de sélectionner</w:t>
            </w:r>
            <w:r>
              <w:rPr>
                <w:rFonts w:asciiTheme="minorHAnsi" w:hAnsiTheme="minorHAnsi" w:cstheme="minorHAnsi"/>
                <w:b/>
                <w:bCs/>
                <w:sz w:val="20"/>
              </w:rPr>
              <w:t xml:space="preserve"> </w:t>
            </w:r>
            <w:r w:rsidRPr="002313F3">
              <w:rPr>
                <w:rFonts w:asciiTheme="minorHAnsi" w:hAnsiTheme="minorHAnsi" w:cstheme="minorHAnsi"/>
                <w:b/>
                <w:bCs/>
                <w:sz w:val="20"/>
              </w:rPr>
              <w:t>un éventail représentatif des différents sites, en garantissant que tous les processus couverts par le</w:t>
            </w:r>
            <w:r>
              <w:rPr>
                <w:rFonts w:asciiTheme="minorHAnsi" w:hAnsiTheme="minorHAnsi" w:cstheme="minorHAnsi"/>
                <w:b/>
                <w:bCs/>
                <w:sz w:val="20"/>
              </w:rPr>
              <w:t xml:space="preserve"> </w:t>
            </w:r>
            <w:r w:rsidRPr="002313F3">
              <w:rPr>
                <w:rFonts w:asciiTheme="minorHAnsi" w:hAnsiTheme="minorHAnsi" w:cstheme="minorHAnsi"/>
                <w:b/>
                <w:bCs/>
                <w:sz w:val="20"/>
              </w:rPr>
              <w:t>périmètre de la certification seront audités.</w:t>
            </w:r>
            <w:r w:rsidRPr="002313F3">
              <w:rPr>
                <w:rFonts w:asciiTheme="minorHAnsi" w:hAnsiTheme="minorHAnsi" w:cstheme="minorHAnsi"/>
                <w:b/>
                <w:bCs/>
                <w:sz w:val="20"/>
              </w:rPr>
              <w:br/>
              <w:t>Au moins 25 % de l’échantillon doit être sélectionné de manière aléatoire. Le reste doit être sélectionné</w:t>
            </w:r>
            <w:r>
              <w:rPr>
                <w:rFonts w:asciiTheme="minorHAnsi" w:hAnsiTheme="minorHAnsi" w:cstheme="minorHAnsi"/>
                <w:b/>
                <w:bCs/>
                <w:sz w:val="20"/>
              </w:rPr>
              <w:t xml:space="preserve"> </w:t>
            </w:r>
            <w:r w:rsidRPr="002313F3">
              <w:rPr>
                <w:rFonts w:asciiTheme="minorHAnsi" w:hAnsiTheme="minorHAnsi" w:cstheme="minorHAnsi"/>
                <w:b/>
                <w:bCs/>
                <w:sz w:val="20"/>
              </w:rPr>
              <w:t>de manière que les différences entre les sites choisis sur la période de validité de la certification soient</w:t>
            </w:r>
            <w:r>
              <w:rPr>
                <w:rFonts w:asciiTheme="minorHAnsi" w:hAnsiTheme="minorHAnsi" w:cstheme="minorHAnsi"/>
                <w:b/>
                <w:bCs/>
                <w:sz w:val="20"/>
              </w:rPr>
              <w:t xml:space="preserve"> </w:t>
            </w:r>
            <w:r w:rsidRPr="002313F3">
              <w:rPr>
                <w:rFonts w:asciiTheme="minorHAnsi" w:hAnsiTheme="minorHAnsi" w:cstheme="minorHAnsi"/>
                <w:b/>
                <w:bCs/>
                <w:sz w:val="20"/>
              </w:rPr>
              <w:t>aussi grandes que possible.</w:t>
            </w:r>
            <w:r w:rsidRPr="002313F3">
              <w:rPr>
                <w:rFonts w:asciiTheme="minorHAnsi" w:hAnsiTheme="minorHAnsi" w:cstheme="minorHAnsi"/>
                <w:b/>
                <w:bCs/>
                <w:sz w:val="20"/>
              </w:rPr>
              <w:br/>
              <w:t>La sélection des sites doit tenir compte, entre autres, des aspects suivants:</w:t>
            </w:r>
            <w:r w:rsidRPr="002313F3">
              <w:rPr>
                <w:rFonts w:asciiTheme="minorHAnsi" w:hAnsiTheme="minorHAnsi" w:cstheme="minorHAnsi"/>
                <w:b/>
                <w:bCs/>
                <w:sz w:val="20"/>
              </w:rPr>
              <w:br/>
              <w:t>a) les résultats des audits internes, des revues de direction ou des audits précédents;</w:t>
            </w:r>
            <w:r w:rsidRPr="002313F3">
              <w:rPr>
                <w:rFonts w:asciiTheme="minorHAnsi" w:hAnsiTheme="minorHAnsi" w:cstheme="minorHAnsi"/>
                <w:b/>
                <w:bCs/>
                <w:sz w:val="20"/>
              </w:rPr>
              <w:br/>
              <w:t>b) les enregistrements de plaintes, de retraits de produits et d’autres aspects pertinents des actions</w:t>
            </w:r>
            <w:r>
              <w:rPr>
                <w:rFonts w:asciiTheme="minorHAnsi" w:hAnsiTheme="minorHAnsi" w:cstheme="minorHAnsi"/>
                <w:b/>
                <w:bCs/>
                <w:sz w:val="20"/>
              </w:rPr>
              <w:t xml:space="preserve"> </w:t>
            </w:r>
            <w:r w:rsidRPr="002313F3">
              <w:rPr>
                <w:rFonts w:asciiTheme="minorHAnsi" w:hAnsiTheme="minorHAnsi" w:cstheme="minorHAnsi"/>
                <w:b/>
                <w:bCs/>
                <w:sz w:val="20"/>
              </w:rPr>
              <w:t>correctives;</w:t>
            </w:r>
            <w:r w:rsidRPr="002313F3">
              <w:rPr>
                <w:rFonts w:asciiTheme="minorHAnsi" w:hAnsiTheme="minorHAnsi" w:cstheme="minorHAnsi"/>
                <w:b/>
                <w:bCs/>
                <w:sz w:val="20"/>
              </w:rPr>
              <w:br/>
              <w:t>c) les variations dans les caractéristiques des sites;</w:t>
            </w:r>
            <w:r w:rsidRPr="002313F3">
              <w:rPr>
                <w:rFonts w:asciiTheme="minorHAnsi" w:hAnsiTheme="minorHAnsi" w:cstheme="minorHAnsi"/>
                <w:b/>
                <w:bCs/>
                <w:sz w:val="20"/>
              </w:rPr>
              <w:br/>
            </w:r>
            <w:r w:rsidRPr="002313F3">
              <w:rPr>
                <w:rFonts w:asciiTheme="minorHAnsi" w:hAnsiTheme="minorHAnsi" w:cstheme="minorHAnsi"/>
                <w:b/>
                <w:bCs/>
                <w:sz w:val="20"/>
              </w:rPr>
              <w:lastRenderedPageBreak/>
              <w:t>d) les autres changements pertinents depuis le dernier audit.</w:t>
            </w:r>
          </w:p>
        </w:tc>
        <w:tc>
          <w:tcPr>
            <w:tcW w:w="2608" w:type="dxa"/>
          </w:tcPr>
          <w:p w14:paraId="4F7FC89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1FF96A2A" w14:textId="74111C83"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3E6A7E6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4863C02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DC086EE" w14:textId="35D07AE1" w:rsidTr="00CE48F1">
        <w:trPr>
          <w:trHeight w:val="1155"/>
        </w:trPr>
        <w:tc>
          <w:tcPr>
            <w:cnfStyle w:val="001000000000" w:firstRow="0" w:lastRow="0" w:firstColumn="1" w:lastColumn="0" w:oddVBand="0" w:evenVBand="0" w:oddHBand="0" w:evenHBand="0" w:firstRowFirstColumn="0" w:firstRowLastColumn="0" w:lastRowFirstColumn="0" w:lastRowLastColumn="0"/>
            <w:tcW w:w="907" w:type="dxa"/>
            <w:vMerge/>
            <w:hideMark/>
          </w:tcPr>
          <w:p w14:paraId="563B99DF" w14:textId="77777777" w:rsidR="00E27FE0" w:rsidRPr="002313F3" w:rsidRDefault="00E27FE0" w:rsidP="00CE48F1">
            <w:pPr>
              <w:rPr>
                <w:rFonts w:asciiTheme="minorHAnsi" w:hAnsiTheme="minorHAnsi" w:cstheme="minorHAnsi"/>
                <w:b w:val="0"/>
                <w:bCs w:val="0"/>
                <w:sz w:val="20"/>
              </w:rPr>
            </w:pPr>
          </w:p>
        </w:tc>
        <w:tc>
          <w:tcPr>
            <w:tcW w:w="2236" w:type="dxa"/>
            <w:vMerge/>
            <w:hideMark/>
          </w:tcPr>
          <w:p w14:paraId="478AE8F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noWrap/>
            <w:hideMark/>
          </w:tcPr>
          <w:p w14:paraId="3718F7B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9.1.5.8</w:t>
            </w:r>
          </w:p>
        </w:tc>
        <w:tc>
          <w:tcPr>
            <w:tcW w:w="3828" w:type="dxa"/>
            <w:hideMark/>
          </w:tcPr>
          <w:p w14:paraId="53E518F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Si un site présente une non-conformité majeure et qu’aucune action corrective satisfaisante n’a pas été mise en </w:t>
            </w:r>
            <w:proofErr w:type="spellStart"/>
            <w:r w:rsidRPr="002313F3">
              <w:rPr>
                <w:rFonts w:asciiTheme="minorHAnsi" w:hAnsiTheme="minorHAnsi" w:cstheme="minorHAnsi"/>
                <w:b/>
                <w:bCs/>
                <w:sz w:val="20"/>
              </w:rPr>
              <w:t>oeuvre</w:t>
            </w:r>
            <w:proofErr w:type="spellEnd"/>
            <w:r w:rsidRPr="002313F3">
              <w:rPr>
                <w:rFonts w:asciiTheme="minorHAnsi" w:hAnsiTheme="minorHAnsi" w:cstheme="minorHAnsi"/>
                <w:b/>
                <w:bCs/>
                <w:sz w:val="20"/>
              </w:rPr>
              <w:t xml:space="preserve"> dans le délai convenu, la certification ne doit pas être accordée ou maintenue pour l’ensemble de l’organisation multisite en attendant une action corrective satisfaisante.</w:t>
            </w:r>
          </w:p>
        </w:tc>
        <w:tc>
          <w:tcPr>
            <w:tcW w:w="2608" w:type="dxa"/>
          </w:tcPr>
          <w:p w14:paraId="649C358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16FB15D2" w14:textId="74405F7D"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3980D03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1A06DF3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7B74B90E" w14:textId="14AEBDF1" w:rsidTr="00CE48F1">
        <w:trPr>
          <w:trHeight w:val="750"/>
        </w:trPr>
        <w:tc>
          <w:tcPr>
            <w:cnfStyle w:val="001000000000" w:firstRow="0" w:lastRow="0" w:firstColumn="1" w:lastColumn="0" w:oddVBand="0" w:evenVBand="0" w:oddHBand="0" w:evenHBand="0" w:firstRowFirstColumn="0" w:firstRowLastColumn="0" w:lastRowFirstColumn="0" w:lastRowLastColumn="0"/>
            <w:tcW w:w="907" w:type="dxa"/>
            <w:vMerge/>
            <w:hideMark/>
          </w:tcPr>
          <w:p w14:paraId="7E050DBB" w14:textId="77777777" w:rsidR="00E27FE0" w:rsidRPr="002313F3" w:rsidRDefault="00E27FE0" w:rsidP="00CE48F1">
            <w:pPr>
              <w:rPr>
                <w:rFonts w:asciiTheme="minorHAnsi" w:hAnsiTheme="minorHAnsi" w:cstheme="minorHAnsi"/>
                <w:b w:val="0"/>
                <w:bCs w:val="0"/>
                <w:sz w:val="20"/>
              </w:rPr>
            </w:pPr>
          </w:p>
        </w:tc>
        <w:tc>
          <w:tcPr>
            <w:tcW w:w="2236" w:type="dxa"/>
            <w:vMerge/>
            <w:hideMark/>
          </w:tcPr>
          <w:p w14:paraId="22ECC4C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noWrap/>
            <w:hideMark/>
          </w:tcPr>
          <w:p w14:paraId="704509D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9.1.5.9</w:t>
            </w:r>
          </w:p>
        </w:tc>
        <w:tc>
          <w:tcPr>
            <w:tcW w:w="3828" w:type="dxa"/>
            <w:hideMark/>
          </w:tcPr>
          <w:p w14:paraId="23973BE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L’organisme de certification doit identifier et inclure dans le périmètre de certification les processus du SMSDA mis en </w:t>
            </w:r>
            <w:proofErr w:type="spellStart"/>
            <w:r w:rsidRPr="002313F3">
              <w:rPr>
                <w:rFonts w:asciiTheme="minorHAnsi" w:hAnsiTheme="minorHAnsi" w:cstheme="minorHAnsi"/>
                <w:b/>
                <w:bCs/>
                <w:sz w:val="20"/>
              </w:rPr>
              <w:t>oeuvre</w:t>
            </w:r>
            <w:proofErr w:type="spellEnd"/>
            <w:r w:rsidRPr="002313F3">
              <w:rPr>
                <w:rFonts w:asciiTheme="minorHAnsi" w:hAnsiTheme="minorHAnsi" w:cstheme="minorHAnsi"/>
                <w:b/>
                <w:bCs/>
                <w:sz w:val="20"/>
              </w:rPr>
              <w:t xml:space="preserve"> sur chaque site échantillonné.</w:t>
            </w:r>
          </w:p>
        </w:tc>
        <w:tc>
          <w:tcPr>
            <w:tcW w:w="2608" w:type="dxa"/>
          </w:tcPr>
          <w:p w14:paraId="579C521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7BE1A26B" w14:textId="57BF0E81"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1A20E81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0EB9826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62289F7C" w14:textId="7DCD21BA" w:rsidTr="00CE48F1">
        <w:trPr>
          <w:trHeight w:val="450"/>
        </w:trPr>
        <w:tc>
          <w:tcPr>
            <w:cnfStyle w:val="001000000000" w:firstRow="0" w:lastRow="0" w:firstColumn="1" w:lastColumn="0" w:oddVBand="0" w:evenVBand="0" w:oddHBand="0" w:evenHBand="0" w:firstRowFirstColumn="0" w:firstRowLastColumn="0" w:lastRowFirstColumn="0" w:lastRowLastColumn="0"/>
            <w:tcW w:w="907" w:type="dxa"/>
            <w:noWrap/>
            <w:hideMark/>
          </w:tcPr>
          <w:p w14:paraId="47EC5435"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9.1.6</w:t>
            </w:r>
          </w:p>
        </w:tc>
        <w:tc>
          <w:tcPr>
            <w:tcW w:w="2236" w:type="dxa"/>
            <w:hideMark/>
          </w:tcPr>
          <w:p w14:paraId="5067547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Normes de systèmes de management multiples.</w:t>
            </w:r>
          </w:p>
        </w:tc>
        <w:tc>
          <w:tcPr>
            <w:tcW w:w="907" w:type="dxa"/>
            <w:noWrap/>
            <w:hideMark/>
          </w:tcPr>
          <w:p w14:paraId="2721141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9.1.6</w:t>
            </w:r>
          </w:p>
        </w:tc>
        <w:tc>
          <w:tcPr>
            <w:tcW w:w="3828" w:type="dxa"/>
            <w:hideMark/>
          </w:tcPr>
          <w:p w14:paraId="3B0C26D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L’ISO/IEC 17021-</w:t>
            </w:r>
            <w:proofErr w:type="gramStart"/>
            <w:r w:rsidRPr="002313F3">
              <w:rPr>
                <w:rFonts w:asciiTheme="minorHAnsi" w:hAnsiTheme="minorHAnsi" w:cstheme="minorHAnsi"/>
                <w:b/>
                <w:bCs/>
                <w:sz w:val="20"/>
              </w:rPr>
              <w:t>1:</w:t>
            </w:r>
            <w:proofErr w:type="gramEnd"/>
            <w:r w:rsidRPr="002313F3">
              <w:rPr>
                <w:rFonts w:asciiTheme="minorHAnsi" w:hAnsiTheme="minorHAnsi" w:cstheme="minorHAnsi"/>
                <w:b/>
                <w:bCs/>
                <w:sz w:val="20"/>
              </w:rPr>
              <w:t>2015, 9.1.6, doit être respectée.</w:t>
            </w:r>
          </w:p>
        </w:tc>
        <w:tc>
          <w:tcPr>
            <w:tcW w:w="2608" w:type="dxa"/>
          </w:tcPr>
          <w:p w14:paraId="5FC76CA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5C3B15AB" w14:textId="230707EA"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61BB1BD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4193DB2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6DE6C25C" w14:textId="604A2C85"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hideMark/>
          </w:tcPr>
          <w:p w14:paraId="4B7B4CB6"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9.2</w:t>
            </w:r>
          </w:p>
        </w:tc>
        <w:tc>
          <w:tcPr>
            <w:tcW w:w="2236" w:type="dxa"/>
            <w:hideMark/>
          </w:tcPr>
          <w:p w14:paraId="543AB4D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Planification des audits</w:t>
            </w:r>
          </w:p>
        </w:tc>
        <w:tc>
          <w:tcPr>
            <w:tcW w:w="907" w:type="dxa"/>
            <w:noWrap/>
            <w:hideMark/>
          </w:tcPr>
          <w:p w14:paraId="6B3863F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9.2</w:t>
            </w:r>
          </w:p>
        </w:tc>
        <w:tc>
          <w:tcPr>
            <w:tcW w:w="3828" w:type="dxa"/>
            <w:hideMark/>
          </w:tcPr>
          <w:p w14:paraId="6D5FB59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L’ISO/IEC 17021-</w:t>
            </w:r>
            <w:proofErr w:type="gramStart"/>
            <w:r w:rsidRPr="002313F3">
              <w:rPr>
                <w:rFonts w:asciiTheme="minorHAnsi" w:hAnsiTheme="minorHAnsi" w:cstheme="minorHAnsi"/>
                <w:b/>
                <w:bCs/>
                <w:sz w:val="20"/>
              </w:rPr>
              <w:t>1:</w:t>
            </w:r>
            <w:proofErr w:type="gramEnd"/>
            <w:r w:rsidRPr="002313F3">
              <w:rPr>
                <w:rFonts w:asciiTheme="minorHAnsi" w:hAnsiTheme="minorHAnsi" w:cstheme="minorHAnsi"/>
                <w:b/>
                <w:bCs/>
                <w:sz w:val="20"/>
              </w:rPr>
              <w:t>2015, 9.2, doit être respectée.</w:t>
            </w:r>
          </w:p>
        </w:tc>
        <w:tc>
          <w:tcPr>
            <w:tcW w:w="2608" w:type="dxa"/>
          </w:tcPr>
          <w:p w14:paraId="798368B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0BC78C47" w14:textId="009F476A"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015D287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189AD89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C907A6E" w14:textId="0774C0E7"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hideMark/>
          </w:tcPr>
          <w:p w14:paraId="48BB2ECC"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9.3</w:t>
            </w:r>
          </w:p>
        </w:tc>
        <w:tc>
          <w:tcPr>
            <w:tcW w:w="2236" w:type="dxa"/>
            <w:hideMark/>
          </w:tcPr>
          <w:p w14:paraId="4FFF125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Certification initiale</w:t>
            </w:r>
          </w:p>
        </w:tc>
        <w:tc>
          <w:tcPr>
            <w:tcW w:w="907" w:type="dxa"/>
            <w:noWrap/>
            <w:hideMark/>
          </w:tcPr>
          <w:p w14:paraId="077053D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9.3</w:t>
            </w:r>
          </w:p>
        </w:tc>
        <w:tc>
          <w:tcPr>
            <w:tcW w:w="3828" w:type="dxa"/>
            <w:hideMark/>
          </w:tcPr>
          <w:p w14:paraId="7B4D926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L’ISO/IEC 17021-</w:t>
            </w:r>
            <w:proofErr w:type="gramStart"/>
            <w:r w:rsidRPr="002313F3">
              <w:rPr>
                <w:rFonts w:asciiTheme="minorHAnsi" w:hAnsiTheme="minorHAnsi" w:cstheme="minorHAnsi"/>
                <w:b/>
                <w:bCs/>
                <w:sz w:val="20"/>
              </w:rPr>
              <w:t>1:</w:t>
            </w:r>
            <w:proofErr w:type="gramEnd"/>
            <w:r w:rsidRPr="002313F3">
              <w:rPr>
                <w:rFonts w:asciiTheme="minorHAnsi" w:hAnsiTheme="minorHAnsi" w:cstheme="minorHAnsi"/>
                <w:b/>
                <w:bCs/>
                <w:sz w:val="20"/>
              </w:rPr>
              <w:t>2015, 9.3, doit être respectée.</w:t>
            </w:r>
          </w:p>
        </w:tc>
        <w:tc>
          <w:tcPr>
            <w:tcW w:w="2608" w:type="dxa"/>
          </w:tcPr>
          <w:p w14:paraId="62EE651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69F6932B" w14:textId="415487E6"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3378CE5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2519046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C175136" w14:textId="4BCBD7BC"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hideMark/>
          </w:tcPr>
          <w:p w14:paraId="0DB5A8DA"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9.3.1</w:t>
            </w:r>
          </w:p>
        </w:tc>
        <w:tc>
          <w:tcPr>
            <w:tcW w:w="2236" w:type="dxa"/>
            <w:hideMark/>
          </w:tcPr>
          <w:p w14:paraId="0D1B735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Audit de certification initiale</w:t>
            </w:r>
          </w:p>
        </w:tc>
        <w:tc>
          <w:tcPr>
            <w:tcW w:w="907" w:type="dxa"/>
            <w:noWrap/>
            <w:hideMark/>
          </w:tcPr>
          <w:p w14:paraId="7124704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9.3.1</w:t>
            </w:r>
          </w:p>
        </w:tc>
        <w:tc>
          <w:tcPr>
            <w:tcW w:w="3828" w:type="dxa"/>
            <w:hideMark/>
          </w:tcPr>
          <w:p w14:paraId="1DF50D7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L’ISO/IEC 17021-</w:t>
            </w:r>
            <w:proofErr w:type="gramStart"/>
            <w:r w:rsidRPr="002313F3">
              <w:rPr>
                <w:rFonts w:asciiTheme="minorHAnsi" w:hAnsiTheme="minorHAnsi" w:cstheme="minorHAnsi"/>
                <w:b/>
                <w:bCs/>
                <w:sz w:val="20"/>
              </w:rPr>
              <w:t>1:</w:t>
            </w:r>
            <w:proofErr w:type="gramEnd"/>
            <w:r w:rsidRPr="002313F3">
              <w:rPr>
                <w:rFonts w:asciiTheme="minorHAnsi" w:hAnsiTheme="minorHAnsi" w:cstheme="minorHAnsi"/>
                <w:b/>
                <w:bCs/>
                <w:sz w:val="20"/>
              </w:rPr>
              <w:t>2015, 9.3, doit être respectée.</w:t>
            </w:r>
          </w:p>
        </w:tc>
        <w:tc>
          <w:tcPr>
            <w:tcW w:w="2608" w:type="dxa"/>
          </w:tcPr>
          <w:p w14:paraId="5D74A47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5D118F60" w14:textId="6EA8D15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05B6423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6620371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6D685077" w14:textId="7CEE477E" w:rsidTr="00CE48F1">
        <w:trPr>
          <w:trHeight w:val="2546"/>
        </w:trPr>
        <w:tc>
          <w:tcPr>
            <w:cnfStyle w:val="001000000000" w:firstRow="0" w:lastRow="0" w:firstColumn="1" w:lastColumn="0" w:oddVBand="0" w:evenVBand="0" w:oddHBand="0" w:evenHBand="0" w:firstRowFirstColumn="0" w:firstRowLastColumn="0" w:lastRowFirstColumn="0" w:lastRowLastColumn="0"/>
            <w:tcW w:w="907" w:type="dxa"/>
            <w:vMerge w:val="restart"/>
            <w:noWrap/>
            <w:hideMark/>
          </w:tcPr>
          <w:p w14:paraId="6593498D" w14:textId="77777777" w:rsidR="00E27FE0" w:rsidRPr="002313F3" w:rsidRDefault="00E27FE0" w:rsidP="00CE48F1">
            <w:pPr>
              <w:rPr>
                <w:rFonts w:asciiTheme="minorHAnsi" w:hAnsiTheme="minorHAnsi" w:cstheme="minorHAnsi"/>
                <w:sz w:val="20"/>
              </w:rPr>
            </w:pPr>
            <w:r w:rsidRPr="002313F3">
              <w:rPr>
                <w:rFonts w:asciiTheme="minorHAnsi" w:hAnsiTheme="minorHAnsi" w:cstheme="minorHAnsi"/>
                <w:sz w:val="20"/>
              </w:rPr>
              <w:lastRenderedPageBreak/>
              <w:t> </w:t>
            </w:r>
          </w:p>
        </w:tc>
        <w:tc>
          <w:tcPr>
            <w:tcW w:w="2236" w:type="dxa"/>
            <w:vMerge w:val="restart"/>
            <w:hideMark/>
          </w:tcPr>
          <w:p w14:paraId="5E79844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907" w:type="dxa"/>
            <w:noWrap/>
            <w:hideMark/>
          </w:tcPr>
          <w:p w14:paraId="76D3B03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9.3.2</w:t>
            </w:r>
          </w:p>
        </w:tc>
        <w:tc>
          <w:tcPr>
            <w:tcW w:w="3828" w:type="dxa"/>
            <w:hideMark/>
          </w:tcPr>
          <w:p w14:paraId="321D1351" w14:textId="6D60D405"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L’étape 1 a pour objectif de préparer la planification de l’étape 2 de l’audit initial en appréhendant le SMSDA de l’organisation et son degré de préparation pour l’étape 2, en passant en revue dans quelle mesure:</w:t>
            </w:r>
            <w:r w:rsidRPr="002313F3">
              <w:rPr>
                <w:rFonts w:asciiTheme="minorHAnsi" w:hAnsiTheme="minorHAnsi" w:cstheme="minorHAnsi"/>
                <w:b/>
                <w:bCs/>
                <w:sz w:val="20"/>
              </w:rPr>
              <w:br/>
              <w:t>a) l’organisation a identifié les PRP qui sont appropriés à l’entreprise (par exemple les exigences réglementaires, législatives, relatives aux clients et à la certification);</w:t>
            </w:r>
            <w:r w:rsidRPr="002313F3">
              <w:rPr>
                <w:rFonts w:asciiTheme="minorHAnsi" w:hAnsiTheme="minorHAnsi" w:cstheme="minorHAnsi"/>
                <w:b/>
                <w:bCs/>
                <w:sz w:val="20"/>
              </w:rPr>
              <w:br/>
              <w:t>b) le SMSDA inclut des processus et des méthodes adéquats pour l’identification et l’évaluation des dangers liés à la sécurité des denrées alimentaires spécifiques de l’organisation, ainsi que pour la sélection et la catégorisation ultérieures des mesures de maîtrise et de leurs combinaisons;</w:t>
            </w:r>
            <w:r w:rsidRPr="002313F3">
              <w:rPr>
                <w:rFonts w:asciiTheme="minorHAnsi" w:hAnsiTheme="minorHAnsi" w:cstheme="minorHAnsi"/>
                <w:b/>
                <w:bCs/>
                <w:sz w:val="20"/>
              </w:rPr>
              <w:br/>
              <w:t>c) le SMSDA comprend des processus et des méthodes adéquats pour l’identification et la mise en œuvre de la législation pertinente relative à la sécurité des denrées alimentaires;</w:t>
            </w:r>
            <w:r w:rsidRPr="002313F3">
              <w:rPr>
                <w:rFonts w:asciiTheme="minorHAnsi" w:hAnsiTheme="minorHAnsi" w:cstheme="minorHAnsi"/>
                <w:b/>
                <w:bCs/>
                <w:sz w:val="20"/>
              </w:rPr>
              <w:br/>
              <w:t>d) le SMSDA est conçu pour accomplir la politique de sécurité sanitaire de l’organisation;</w:t>
            </w:r>
            <w:r w:rsidRPr="002313F3">
              <w:rPr>
                <w:rFonts w:asciiTheme="minorHAnsi" w:hAnsiTheme="minorHAnsi" w:cstheme="minorHAnsi"/>
                <w:b/>
                <w:bCs/>
                <w:sz w:val="20"/>
              </w:rPr>
              <w:br/>
              <w:t>e) le programme de mise en œuvre du SMSDA justifie le passage à l’étape 2;</w:t>
            </w:r>
            <w:r w:rsidRPr="002313F3">
              <w:rPr>
                <w:rFonts w:asciiTheme="minorHAnsi" w:hAnsiTheme="minorHAnsi" w:cstheme="minorHAnsi"/>
                <w:b/>
                <w:bCs/>
                <w:sz w:val="20"/>
              </w:rPr>
              <w:br/>
              <w:t xml:space="preserve">f) la validation des mesures de maîtrise, la vérification des activités et les programmes d’amélioration sont conformes aux </w:t>
            </w:r>
            <w:r w:rsidRPr="002313F3">
              <w:rPr>
                <w:rFonts w:asciiTheme="minorHAnsi" w:hAnsiTheme="minorHAnsi" w:cstheme="minorHAnsi"/>
                <w:b/>
                <w:bCs/>
                <w:sz w:val="20"/>
              </w:rPr>
              <w:lastRenderedPageBreak/>
              <w:t>exigences de la norme relative au SMSDA;</w:t>
            </w:r>
            <w:r w:rsidRPr="002313F3">
              <w:rPr>
                <w:rFonts w:asciiTheme="minorHAnsi" w:hAnsiTheme="minorHAnsi" w:cstheme="minorHAnsi"/>
                <w:b/>
                <w:bCs/>
                <w:sz w:val="20"/>
              </w:rPr>
              <w:br/>
              <w:t>g) les documents et les dispositions du SMSDA sont en place afin de communiquer en interne et avec des fournisseurs, des clients et des parties intéressées pertinents;</w:t>
            </w:r>
            <w:r w:rsidRPr="002313F3">
              <w:rPr>
                <w:rFonts w:asciiTheme="minorHAnsi" w:hAnsiTheme="minorHAnsi" w:cstheme="minorHAnsi"/>
                <w:b/>
                <w:bCs/>
                <w:sz w:val="20"/>
              </w:rPr>
              <w:br/>
              <w:t>h) il existe une documentation supplémentaire qu’il est nécessaire de revoir et/ou des informations qu’il est nécessaire d’acquérir au préalable.</w:t>
            </w:r>
          </w:p>
        </w:tc>
        <w:tc>
          <w:tcPr>
            <w:tcW w:w="2608" w:type="dxa"/>
          </w:tcPr>
          <w:p w14:paraId="041ED6D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207AC758" w14:textId="5ED7492B"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213E484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5C399A5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53CCA14" w14:textId="28E204D9" w:rsidTr="00CE48F1">
        <w:trPr>
          <w:trHeight w:val="561"/>
        </w:trPr>
        <w:tc>
          <w:tcPr>
            <w:cnfStyle w:val="001000000000" w:firstRow="0" w:lastRow="0" w:firstColumn="1" w:lastColumn="0" w:oddVBand="0" w:evenVBand="0" w:oddHBand="0" w:evenHBand="0" w:firstRowFirstColumn="0" w:firstRowLastColumn="0" w:lastRowFirstColumn="0" w:lastRowLastColumn="0"/>
            <w:tcW w:w="907" w:type="dxa"/>
            <w:vMerge/>
            <w:hideMark/>
          </w:tcPr>
          <w:p w14:paraId="55E3E2A9" w14:textId="77777777" w:rsidR="00E27FE0" w:rsidRPr="002313F3" w:rsidRDefault="00E27FE0" w:rsidP="00CE48F1">
            <w:pPr>
              <w:rPr>
                <w:rFonts w:asciiTheme="minorHAnsi" w:hAnsiTheme="minorHAnsi" w:cstheme="minorHAnsi"/>
                <w:sz w:val="20"/>
              </w:rPr>
            </w:pPr>
          </w:p>
        </w:tc>
        <w:tc>
          <w:tcPr>
            <w:tcW w:w="2236" w:type="dxa"/>
            <w:vMerge/>
            <w:hideMark/>
          </w:tcPr>
          <w:p w14:paraId="227B49E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907" w:type="dxa"/>
            <w:noWrap/>
            <w:hideMark/>
          </w:tcPr>
          <w:p w14:paraId="6ED015C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9.3.3</w:t>
            </w:r>
          </w:p>
        </w:tc>
        <w:tc>
          <w:tcPr>
            <w:tcW w:w="3828" w:type="dxa"/>
            <w:hideMark/>
          </w:tcPr>
          <w:p w14:paraId="3FE1AB0C" w14:textId="296C5F2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Lorsqu’une organisation a mis en </w:t>
            </w:r>
            <w:proofErr w:type="spellStart"/>
            <w:r w:rsidRPr="002313F3">
              <w:rPr>
                <w:rFonts w:asciiTheme="minorHAnsi" w:hAnsiTheme="minorHAnsi" w:cstheme="minorHAnsi"/>
                <w:b/>
                <w:bCs/>
                <w:sz w:val="20"/>
              </w:rPr>
              <w:t>oeuvre</w:t>
            </w:r>
            <w:proofErr w:type="spellEnd"/>
            <w:r w:rsidRPr="002313F3">
              <w:rPr>
                <w:rFonts w:asciiTheme="minorHAnsi" w:hAnsiTheme="minorHAnsi" w:cstheme="minorHAnsi"/>
                <w:b/>
                <w:bCs/>
                <w:sz w:val="20"/>
              </w:rPr>
              <w:t xml:space="preserve"> des éléments d’un SMSDA développés en externe, l’étape 1 doit passer en revue la documentation incluse dans le SMSDA afin de déterminer si la combinaison de mesures de maîtrise :</w:t>
            </w:r>
            <w:r w:rsidRPr="002313F3">
              <w:rPr>
                <w:rFonts w:asciiTheme="minorHAnsi" w:hAnsiTheme="minorHAnsi" w:cstheme="minorHAnsi"/>
                <w:b/>
                <w:bCs/>
                <w:sz w:val="20"/>
              </w:rPr>
              <w:br/>
              <w:t>— convient à l’organisation ;</w:t>
            </w:r>
            <w:r w:rsidRPr="002313F3">
              <w:rPr>
                <w:rFonts w:asciiTheme="minorHAnsi" w:hAnsiTheme="minorHAnsi" w:cstheme="minorHAnsi"/>
                <w:b/>
                <w:bCs/>
                <w:sz w:val="20"/>
              </w:rPr>
              <w:br/>
              <w:t>— a été élaborée conformément aux exigences de l’ISO 22000 ou à d’autres ensembles d’exigences spécifiées en matière de SMSDA ;</w:t>
            </w:r>
            <w:r w:rsidRPr="002313F3">
              <w:rPr>
                <w:rFonts w:asciiTheme="minorHAnsi" w:hAnsiTheme="minorHAnsi" w:cstheme="minorHAnsi"/>
                <w:b/>
                <w:bCs/>
                <w:sz w:val="20"/>
              </w:rPr>
              <w:br/>
              <w:t>— est tenue à jour.</w:t>
            </w:r>
          </w:p>
        </w:tc>
        <w:tc>
          <w:tcPr>
            <w:tcW w:w="2608" w:type="dxa"/>
          </w:tcPr>
          <w:p w14:paraId="4558803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4F6BC725" w14:textId="2E24658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74C3C3D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01E0B02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4CAC6B18" w14:textId="23D1BDC7" w:rsidTr="00CE48F1">
        <w:trPr>
          <w:trHeight w:val="600"/>
        </w:trPr>
        <w:tc>
          <w:tcPr>
            <w:cnfStyle w:val="001000000000" w:firstRow="0" w:lastRow="0" w:firstColumn="1" w:lastColumn="0" w:oddVBand="0" w:evenVBand="0" w:oddHBand="0" w:evenHBand="0" w:firstRowFirstColumn="0" w:firstRowLastColumn="0" w:lastRowFirstColumn="0" w:lastRowLastColumn="0"/>
            <w:tcW w:w="907" w:type="dxa"/>
            <w:vMerge/>
            <w:hideMark/>
          </w:tcPr>
          <w:p w14:paraId="582112F1" w14:textId="77777777" w:rsidR="00E27FE0" w:rsidRPr="002313F3" w:rsidRDefault="00E27FE0" w:rsidP="00CE48F1">
            <w:pPr>
              <w:rPr>
                <w:rFonts w:asciiTheme="minorHAnsi" w:hAnsiTheme="minorHAnsi" w:cstheme="minorHAnsi"/>
                <w:sz w:val="20"/>
              </w:rPr>
            </w:pPr>
          </w:p>
        </w:tc>
        <w:tc>
          <w:tcPr>
            <w:tcW w:w="2236" w:type="dxa"/>
            <w:hideMark/>
          </w:tcPr>
          <w:p w14:paraId="07E091C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907" w:type="dxa"/>
            <w:noWrap/>
            <w:hideMark/>
          </w:tcPr>
          <w:p w14:paraId="4D462EA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9.3.4</w:t>
            </w:r>
          </w:p>
        </w:tc>
        <w:tc>
          <w:tcPr>
            <w:tcW w:w="3828" w:type="dxa"/>
            <w:hideMark/>
          </w:tcPr>
          <w:p w14:paraId="18798E7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Il doit être vérifié que les autorisations pertinentes sont disponibles lors de la collecte des informations concernant la conformité aux aspects réglementaires.</w:t>
            </w:r>
          </w:p>
        </w:tc>
        <w:tc>
          <w:tcPr>
            <w:tcW w:w="2608" w:type="dxa"/>
          </w:tcPr>
          <w:p w14:paraId="70837B6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0A5A7EF6" w14:textId="6F3C1F23"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4CC56B2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406A4254"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5ADBE57A" w14:textId="477F627D" w:rsidTr="00CE48F1">
        <w:trPr>
          <w:trHeight w:val="1395"/>
        </w:trPr>
        <w:tc>
          <w:tcPr>
            <w:cnfStyle w:val="001000000000" w:firstRow="0" w:lastRow="0" w:firstColumn="1" w:lastColumn="0" w:oddVBand="0" w:evenVBand="0" w:oddHBand="0" w:evenHBand="0" w:firstRowFirstColumn="0" w:firstRowLastColumn="0" w:lastRowFirstColumn="0" w:lastRowLastColumn="0"/>
            <w:tcW w:w="907" w:type="dxa"/>
            <w:vMerge/>
            <w:hideMark/>
          </w:tcPr>
          <w:p w14:paraId="0D954CD7" w14:textId="77777777" w:rsidR="00E27FE0" w:rsidRPr="002313F3" w:rsidRDefault="00E27FE0" w:rsidP="00CE48F1">
            <w:pPr>
              <w:rPr>
                <w:rFonts w:asciiTheme="minorHAnsi" w:hAnsiTheme="minorHAnsi" w:cstheme="minorHAnsi"/>
                <w:sz w:val="20"/>
              </w:rPr>
            </w:pPr>
          </w:p>
        </w:tc>
        <w:tc>
          <w:tcPr>
            <w:tcW w:w="2236" w:type="dxa"/>
            <w:hideMark/>
          </w:tcPr>
          <w:p w14:paraId="33B194C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907" w:type="dxa"/>
            <w:noWrap/>
            <w:hideMark/>
          </w:tcPr>
          <w:p w14:paraId="3EA51A0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9.3.5</w:t>
            </w:r>
          </w:p>
        </w:tc>
        <w:tc>
          <w:tcPr>
            <w:tcW w:w="3828" w:type="dxa"/>
            <w:hideMark/>
          </w:tcPr>
          <w:p w14:paraId="5EE4CE9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Pour le SMSDA, l’étape 1 doit être menée dans les locaux du client afin d’atteindre les objectifs cités ci-dessus. En cas de circonstances ou d’événements exceptionnels qui doivent être entièrement justifiés, tout ou partie de l’étape 1 peut être réalisée en dehors du site ou à distance en faisant appel aux TIC. Les preuves démontrant que les objectifs de l’étape 1 sont entièrement atteints doivent être fournies.</w:t>
            </w:r>
          </w:p>
        </w:tc>
        <w:tc>
          <w:tcPr>
            <w:tcW w:w="2608" w:type="dxa"/>
          </w:tcPr>
          <w:p w14:paraId="4F6710F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0AD76D33" w14:textId="7F21D14A"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0585034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7CF2244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2E334B9" w14:textId="7067CECD" w:rsidTr="00CE48F1">
        <w:trPr>
          <w:trHeight w:val="600"/>
        </w:trPr>
        <w:tc>
          <w:tcPr>
            <w:cnfStyle w:val="001000000000" w:firstRow="0" w:lastRow="0" w:firstColumn="1" w:lastColumn="0" w:oddVBand="0" w:evenVBand="0" w:oddHBand="0" w:evenHBand="0" w:firstRowFirstColumn="0" w:firstRowLastColumn="0" w:lastRowFirstColumn="0" w:lastRowLastColumn="0"/>
            <w:tcW w:w="907" w:type="dxa"/>
            <w:vMerge/>
            <w:hideMark/>
          </w:tcPr>
          <w:p w14:paraId="40FF70FB" w14:textId="77777777" w:rsidR="00E27FE0" w:rsidRPr="002313F3" w:rsidRDefault="00E27FE0" w:rsidP="00CE48F1">
            <w:pPr>
              <w:rPr>
                <w:rFonts w:asciiTheme="minorHAnsi" w:hAnsiTheme="minorHAnsi" w:cstheme="minorHAnsi"/>
                <w:sz w:val="20"/>
              </w:rPr>
            </w:pPr>
          </w:p>
        </w:tc>
        <w:tc>
          <w:tcPr>
            <w:tcW w:w="2236" w:type="dxa"/>
            <w:hideMark/>
          </w:tcPr>
          <w:p w14:paraId="229E2A1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907" w:type="dxa"/>
            <w:noWrap/>
            <w:hideMark/>
          </w:tcPr>
          <w:p w14:paraId="28C1BD8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9.3.6</w:t>
            </w:r>
          </w:p>
        </w:tc>
        <w:tc>
          <w:tcPr>
            <w:tcW w:w="3828" w:type="dxa"/>
            <w:hideMark/>
          </w:tcPr>
          <w:p w14:paraId="2B91941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L’intervalle entre l’étape 1 et l’étape 2 ne doit pas dépasser six mois. L’étape 1 doit être répétée si un intervalle plus long est requis.</w:t>
            </w:r>
          </w:p>
        </w:tc>
        <w:tc>
          <w:tcPr>
            <w:tcW w:w="2608" w:type="dxa"/>
          </w:tcPr>
          <w:p w14:paraId="4D77053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0AEB8709" w14:textId="4002FB7F"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08A812B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5975821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5E1CE18" w14:textId="0C0C6A53"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hideMark/>
          </w:tcPr>
          <w:p w14:paraId="516A7E2A" w14:textId="77777777" w:rsidR="00E27FE0" w:rsidRPr="002313F3" w:rsidRDefault="00E27FE0" w:rsidP="00CE48F1">
            <w:pPr>
              <w:rPr>
                <w:rFonts w:asciiTheme="minorHAnsi" w:hAnsiTheme="minorHAnsi" w:cstheme="minorHAnsi"/>
                <w:sz w:val="20"/>
              </w:rPr>
            </w:pPr>
            <w:r w:rsidRPr="002313F3">
              <w:rPr>
                <w:rFonts w:asciiTheme="minorHAnsi" w:hAnsiTheme="minorHAnsi" w:cstheme="minorHAnsi"/>
                <w:sz w:val="20"/>
              </w:rPr>
              <w:t> </w:t>
            </w:r>
          </w:p>
        </w:tc>
        <w:tc>
          <w:tcPr>
            <w:tcW w:w="2236" w:type="dxa"/>
            <w:hideMark/>
          </w:tcPr>
          <w:p w14:paraId="7D76ECB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907" w:type="dxa"/>
            <w:noWrap/>
            <w:hideMark/>
          </w:tcPr>
          <w:p w14:paraId="56652CE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9.3.7</w:t>
            </w:r>
          </w:p>
        </w:tc>
        <w:tc>
          <w:tcPr>
            <w:tcW w:w="3828" w:type="dxa"/>
            <w:hideMark/>
          </w:tcPr>
          <w:p w14:paraId="0278B21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L’ISO/IEC 17021-</w:t>
            </w:r>
            <w:proofErr w:type="gramStart"/>
            <w:r w:rsidRPr="002313F3">
              <w:rPr>
                <w:rFonts w:asciiTheme="minorHAnsi" w:hAnsiTheme="minorHAnsi" w:cstheme="minorHAnsi"/>
                <w:b/>
                <w:bCs/>
                <w:sz w:val="20"/>
              </w:rPr>
              <w:t>1:</w:t>
            </w:r>
            <w:proofErr w:type="gramEnd"/>
            <w:r w:rsidRPr="002313F3">
              <w:rPr>
                <w:rFonts w:asciiTheme="minorHAnsi" w:hAnsiTheme="minorHAnsi" w:cstheme="minorHAnsi"/>
                <w:b/>
                <w:bCs/>
                <w:sz w:val="20"/>
              </w:rPr>
              <w:t>2015, 9.3.1.3 et 9.3.1.4, doit être respectée.</w:t>
            </w:r>
          </w:p>
        </w:tc>
        <w:tc>
          <w:tcPr>
            <w:tcW w:w="2608" w:type="dxa"/>
          </w:tcPr>
          <w:p w14:paraId="7B30825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6B553F8C" w14:textId="6A0FCCCB"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4073CF3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5357ADF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780FF9CC" w14:textId="65B8F4CE" w:rsidTr="00CE48F1">
        <w:trPr>
          <w:trHeight w:val="615"/>
        </w:trPr>
        <w:tc>
          <w:tcPr>
            <w:cnfStyle w:val="001000000000" w:firstRow="0" w:lastRow="0" w:firstColumn="1" w:lastColumn="0" w:oddVBand="0" w:evenVBand="0" w:oddHBand="0" w:evenHBand="0" w:firstRowFirstColumn="0" w:firstRowLastColumn="0" w:lastRowFirstColumn="0" w:lastRowLastColumn="0"/>
            <w:tcW w:w="907" w:type="dxa"/>
            <w:hideMark/>
          </w:tcPr>
          <w:p w14:paraId="32AC4962"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9.4</w:t>
            </w:r>
          </w:p>
        </w:tc>
        <w:tc>
          <w:tcPr>
            <w:tcW w:w="2236" w:type="dxa"/>
            <w:hideMark/>
          </w:tcPr>
          <w:p w14:paraId="16880634"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Réalisation des audits</w:t>
            </w:r>
          </w:p>
        </w:tc>
        <w:tc>
          <w:tcPr>
            <w:tcW w:w="907" w:type="dxa"/>
            <w:noWrap/>
            <w:hideMark/>
          </w:tcPr>
          <w:p w14:paraId="7B62A4F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9.4</w:t>
            </w:r>
          </w:p>
        </w:tc>
        <w:tc>
          <w:tcPr>
            <w:tcW w:w="3828" w:type="dxa"/>
            <w:hideMark/>
          </w:tcPr>
          <w:p w14:paraId="125ED0A0" w14:textId="18F64019"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L'ensemble des exigences du chapitre 9.4 de l'ISO/IEC 17021-1 doivent être respectées.</w:t>
            </w:r>
          </w:p>
        </w:tc>
        <w:tc>
          <w:tcPr>
            <w:tcW w:w="2608" w:type="dxa"/>
          </w:tcPr>
          <w:p w14:paraId="41F9ABF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5A765594" w14:textId="0F04B0A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08BDE53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03945F2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044B7102" w14:textId="6E130640" w:rsidTr="00CE48F1">
        <w:trPr>
          <w:trHeight w:val="615"/>
        </w:trPr>
        <w:tc>
          <w:tcPr>
            <w:cnfStyle w:val="001000000000" w:firstRow="0" w:lastRow="0" w:firstColumn="1" w:lastColumn="0" w:oddVBand="0" w:evenVBand="0" w:oddHBand="0" w:evenHBand="0" w:firstRowFirstColumn="0" w:firstRowLastColumn="0" w:lastRowFirstColumn="0" w:lastRowLastColumn="0"/>
            <w:tcW w:w="907" w:type="dxa"/>
            <w:hideMark/>
          </w:tcPr>
          <w:p w14:paraId="17EF007F"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9.5</w:t>
            </w:r>
          </w:p>
        </w:tc>
        <w:tc>
          <w:tcPr>
            <w:tcW w:w="2236" w:type="dxa"/>
            <w:hideMark/>
          </w:tcPr>
          <w:p w14:paraId="46F2C58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Décision de certification</w:t>
            </w:r>
          </w:p>
        </w:tc>
        <w:tc>
          <w:tcPr>
            <w:tcW w:w="907" w:type="dxa"/>
            <w:noWrap/>
            <w:hideMark/>
          </w:tcPr>
          <w:p w14:paraId="6A8FB6A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9.5</w:t>
            </w:r>
          </w:p>
        </w:tc>
        <w:tc>
          <w:tcPr>
            <w:tcW w:w="3828" w:type="dxa"/>
            <w:hideMark/>
          </w:tcPr>
          <w:p w14:paraId="265E5DB6" w14:textId="0B689E0B"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L'ensemble des exigences du chapitre 9.5 de l'ISO/IEC 17021-1 doivent être respectées.</w:t>
            </w:r>
          </w:p>
        </w:tc>
        <w:tc>
          <w:tcPr>
            <w:tcW w:w="2608" w:type="dxa"/>
          </w:tcPr>
          <w:p w14:paraId="76AD624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0D3DE86F" w14:textId="22461C03"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1B0AB19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6AE3B01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3EEF4FA" w14:textId="3BE789D2" w:rsidTr="00CE48F1">
        <w:trPr>
          <w:trHeight w:val="510"/>
        </w:trPr>
        <w:tc>
          <w:tcPr>
            <w:cnfStyle w:val="001000000000" w:firstRow="0" w:lastRow="0" w:firstColumn="1" w:lastColumn="0" w:oddVBand="0" w:evenVBand="0" w:oddHBand="0" w:evenHBand="0" w:firstRowFirstColumn="0" w:firstRowLastColumn="0" w:lastRowFirstColumn="0" w:lastRowLastColumn="0"/>
            <w:tcW w:w="907" w:type="dxa"/>
            <w:hideMark/>
          </w:tcPr>
          <w:p w14:paraId="5D3AFEF7"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9.6</w:t>
            </w:r>
          </w:p>
        </w:tc>
        <w:tc>
          <w:tcPr>
            <w:tcW w:w="2236" w:type="dxa"/>
            <w:hideMark/>
          </w:tcPr>
          <w:p w14:paraId="3B542E2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xml:space="preserve"> Maintien de la certification</w:t>
            </w:r>
          </w:p>
        </w:tc>
        <w:tc>
          <w:tcPr>
            <w:tcW w:w="907" w:type="dxa"/>
            <w:noWrap/>
            <w:hideMark/>
          </w:tcPr>
          <w:p w14:paraId="277AB77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9.6</w:t>
            </w:r>
          </w:p>
        </w:tc>
        <w:tc>
          <w:tcPr>
            <w:tcW w:w="3828" w:type="dxa"/>
            <w:hideMark/>
          </w:tcPr>
          <w:p w14:paraId="29DD9718" w14:textId="231C04BA"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L'ensemble des exigences du chapitre 9.6 de l'ISO/IEC 17021-1 doivent être respectées.</w:t>
            </w:r>
          </w:p>
        </w:tc>
        <w:tc>
          <w:tcPr>
            <w:tcW w:w="2608" w:type="dxa"/>
          </w:tcPr>
          <w:p w14:paraId="5ED14AC2"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34FA2A0B" w14:textId="74A0FB30"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7C2BB5E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3C9F15E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2525F10D" w14:textId="3E1920BB" w:rsidTr="00CE48F1">
        <w:trPr>
          <w:trHeight w:val="615"/>
        </w:trPr>
        <w:tc>
          <w:tcPr>
            <w:cnfStyle w:val="001000000000" w:firstRow="0" w:lastRow="0" w:firstColumn="1" w:lastColumn="0" w:oddVBand="0" w:evenVBand="0" w:oddHBand="0" w:evenHBand="0" w:firstRowFirstColumn="0" w:firstRowLastColumn="0" w:lastRowFirstColumn="0" w:lastRowLastColumn="0"/>
            <w:tcW w:w="907" w:type="dxa"/>
            <w:noWrap/>
            <w:hideMark/>
          </w:tcPr>
          <w:p w14:paraId="7138F75B"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9.7</w:t>
            </w:r>
          </w:p>
        </w:tc>
        <w:tc>
          <w:tcPr>
            <w:tcW w:w="2236" w:type="dxa"/>
            <w:hideMark/>
          </w:tcPr>
          <w:p w14:paraId="3176446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Appels</w:t>
            </w:r>
          </w:p>
        </w:tc>
        <w:tc>
          <w:tcPr>
            <w:tcW w:w="907" w:type="dxa"/>
            <w:noWrap/>
            <w:hideMark/>
          </w:tcPr>
          <w:p w14:paraId="212B4EC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9.7</w:t>
            </w:r>
          </w:p>
        </w:tc>
        <w:tc>
          <w:tcPr>
            <w:tcW w:w="3828" w:type="dxa"/>
            <w:hideMark/>
          </w:tcPr>
          <w:p w14:paraId="157A11F2" w14:textId="3E935ADD"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L'ensemble des exigences du chapitre 9.6 de l'ISO/IEC 17021-1 doivent être respectées.</w:t>
            </w:r>
          </w:p>
        </w:tc>
        <w:tc>
          <w:tcPr>
            <w:tcW w:w="2608" w:type="dxa"/>
          </w:tcPr>
          <w:p w14:paraId="62A0996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070F28BD" w14:textId="1E2DEB1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6B9A9A7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6509748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584B8D3B" w14:textId="36C87400"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hideMark/>
          </w:tcPr>
          <w:p w14:paraId="3B9D3D64"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lastRenderedPageBreak/>
              <w:t>9.8</w:t>
            </w:r>
          </w:p>
        </w:tc>
        <w:tc>
          <w:tcPr>
            <w:tcW w:w="2236" w:type="dxa"/>
            <w:hideMark/>
          </w:tcPr>
          <w:p w14:paraId="1A48EB9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Plaintes</w:t>
            </w:r>
          </w:p>
        </w:tc>
        <w:tc>
          <w:tcPr>
            <w:tcW w:w="907" w:type="dxa"/>
            <w:noWrap/>
            <w:hideMark/>
          </w:tcPr>
          <w:p w14:paraId="7A83A80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9.8</w:t>
            </w:r>
          </w:p>
        </w:tc>
        <w:tc>
          <w:tcPr>
            <w:tcW w:w="3828" w:type="dxa"/>
            <w:hideMark/>
          </w:tcPr>
          <w:p w14:paraId="27D2AF2D" w14:textId="5CA49738"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L'ensemble des exigences du chapitre 9.8 de l'ISO/IEC 17021-1 doivent être respectées.</w:t>
            </w:r>
          </w:p>
        </w:tc>
        <w:tc>
          <w:tcPr>
            <w:tcW w:w="2608" w:type="dxa"/>
          </w:tcPr>
          <w:p w14:paraId="017CD90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58970A84" w14:textId="462B2D7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357B5A7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431701B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14E34C3E" w14:textId="64AA6C0D"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noWrap/>
            <w:hideMark/>
          </w:tcPr>
          <w:p w14:paraId="6575FB21"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9.9</w:t>
            </w:r>
          </w:p>
        </w:tc>
        <w:tc>
          <w:tcPr>
            <w:tcW w:w="2236" w:type="dxa"/>
            <w:hideMark/>
          </w:tcPr>
          <w:p w14:paraId="7A30140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Enregistrements relatifs au client</w:t>
            </w:r>
          </w:p>
        </w:tc>
        <w:tc>
          <w:tcPr>
            <w:tcW w:w="907" w:type="dxa"/>
            <w:noWrap/>
            <w:hideMark/>
          </w:tcPr>
          <w:p w14:paraId="217C3D3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9.9</w:t>
            </w:r>
          </w:p>
        </w:tc>
        <w:tc>
          <w:tcPr>
            <w:tcW w:w="3828" w:type="dxa"/>
            <w:hideMark/>
          </w:tcPr>
          <w:p w14:paraId="3645FCBE" w14:textId="07A898B8"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L'ensemble des exigences du chapitre 9.9 de l'ISO/IEC 17021-1 doivent être respectées.</w:t>
            </w:r>
          </w:p>
        </w:tc>
        <w:tc>
          <w:tcPr>
            <w:tcW w:w="2608" w:type="dxa"/>
          </w:tcPr>
          <w:p w14:paraId="56B9CE11"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35FDC59D" w14:textId="2D9F6386"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6392E18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790017F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0E8FE11D" w14:textId="13A57359" w:rsidTr="00CE48F1">
        <w:trPr>
          <w:trHeight w:val="675"/>
        </w:trPr>
        <w:tc>
          <w:tcPr>
            <w:cnfStyle w:val="001000000000" w:firstRow="0" w:lastRow="0" w:firstColumn="1" w:lastColumn="0" w:oddVBand="0" w:evenVBand="0" w:oddHBand="0" w:evenHBand="0" w:firstRowFirstColumn="0" w:firstRowLastColumn="0" w:lastRowFirstColumn="0" w:lastRowLastColumn="0"/>
            <w:tcW w:w="907" w:type="dxa"/>
            <w:noWrap/>
            <w:hideMark/>
          </w:tcPr>
          <w:p w14:paraId="6EF0A995"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10</w:t>
            </w:r>
          </w:p>
        </w:tc>
        <w:tc>
          <w:tcPr>
            <w:tcW w:w="2236" w:type="dxa"/>
            <w:hideMark/>
          </w:tcPr>
          <w:p w14:paraId="21A6A8C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Exigences relatives au système de management des organismes de certification</w:t>
            </w:r>
          </w:p>
        </w:tc>
        <w:tc>
          <w:tcPr>
            <w:tcW w:w="907" w:type="dxa"/>
            <w:hideMark/>
          </w:tcPr>
          <w:p w14:paraId="11A5804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w:t>
            </w:r>
          </w:p>
        </w:tc>
        <w:tc>
          <w:tcPr>
            <w:tcW w:w="3828" w:type="dxa"/>
            <w:hideMark/>
          </w:tcPr>
          <w:p w14:paraId="15372785" w14:textId="6A46BB0E"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L’ISO/IEC 17021-1 :2015, Article 10, doit être respectée</w:t>
            </w:r>
          </w:p>
        </w:tc>
        <w:tc>
          <w:tcPr>
            <w:tcW w:w="2608" w:type="dxa"/>
          </w:tcPr>
          <w:p w14:paraId="3119B7B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7FF3D93A" w14:textId="312344F8"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48E183F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4D46CB6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617880FF" w14:textId="2FF6702F" w:rsidTr="00CE48F1">
        <w:trPr>
          <w:trHeight w:val="960"/>
        </w:trPr>
        <w:tc>
          <w:tcPr>
            <w:cnfStyle w:val="001000000000" w:firstRow="0" w:lastRow="0" w:firstColumn="1" w:lastColumn="0" w:oddVBand="0" w:evenVBand="0" w:oddHBand="0" w:evenHBand="0" w:firstRowFirstColumn="0" w:firstRowLastColumn="0" w:lastRowFirstColumn="0" w:lastRowLastColumn="0"/>
            <w:tcW w:w="907" w:type="dxa"/>
            <w:hideMark/>
          </w:tcPr>
          <w:p w14:paraId="40BBD539" w14:textId="77777777" w:rsidR="00E27FE0" w:rsidRPr="002313F3" w:rsidRDefault="00E27FE0" w:rsidP="00CE48F1">
            <w:pPr>
              <w:rPr>
                <w:rFonts w:asciiTheme="minorHAnsi" w:hAnsiTheme="minorHAnsi" w:cstheme="minorHAnsi"/>
                <w:b w:val="0"/>
                <w:bCs w:val="0"/>
                <w:sz w:val="20"/>
              </w:rPr>
            </w:pPr>
            <w:r w:rsidRPr="002313F3">
              <w:rPr>
                <w:rFonts w:asciiTheme="minorHAnsi" w:hAnsiTheme="minorHAnsi" w:cstheme="minorHAnsi"/>
                <w:sz w:val="20"/>
              </w:rPr>
              <w:t>Annexe A (normative)</w:t>
            </w:r>
          </w:p>
        </w:tc>
        <w:tc>
          <w:tcPr>
            <w:tcW w:w="2236" w:type="dxa"/>
            <w:hideMark/>
          </w:tcPr>
          <w:p w14:paraId="00EFD4B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Connaissances et savoir-faire exigés</w:t>
            </w:r>
          </w:p>
        </w:tc>
        <w:tc>
          <w:tcPr>
            <w:tcW w:w="907" w:type="dxa"/>
            <w:hideMark/>
          </w:tcPr>
          <w:p w14:paraId="0BBF036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w:t>
            </w:r>
          </w:p>
        </w:tc>
        <w:tc>
          <w:tcPr>
            <w:tcW w:w="3828" w:type="dxa"/>
            <w:hideMark/>
          </w:tcPr>
          <w:p w14:paraId="39F291B6" w14:textId="6DEAEF5D"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L'ensemble des exigences de l'annexe A de l'ISO/IEC 17021-1 doivent être respectées.</w:t>
            </w:r>
          </w:p>
        </w:tc>
        <w:tc>
          <w:tcPr>
            <w:tcW w:w="2608" w:type="dxa"/>
          </w:tcPr>
          <w:p w14:paraId="7B4F2CDA"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29CCCBCC" w14:textId="42A97DE2"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30B316A5"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1C3A8A4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4C198C09" w14:textId="0CD7790C" w:rsidTr="00CE48F1">
        <w:trPr>
          <w:trHeight w:val="855"/>
        </w:trPr>
        <w:tc>
          <w:tcPr>
            <w:cnfStyle w:val="001000000000" w:firstRow="0" w:lastRow="0" w:firstColumn="1" w:lastColumn="0" w:oddVBand="0" w:evenVBand="0" w:oddHBand="0" w:evenHBand="0" w:firstRowFirstColumn="0" w:firstRowLastColumn="0" w:lastRowFirstColumn="0" w:lastRowLastColumn="0"/>
            <w:tcW w:w="907" w:type="dxa"/>
            <w:vMerge w:val="restart"/>
            <w:noWrap/>
            <w:hideMark/>
          </w:tcPr>
          <w:p w14:paraId="66F9944C" w14:textId="77777777" w:rsidR="00E27FE0" w:rsidRPr="002313F3" w:rsidRDefault="00E27FE0" w:rsidP="00CE48F1">
            <w:pPr>
              <w:rPr>
                <w:rFonts w:asciiTheme="minorHAnsi" w:hAnsiTheme="minorHAnsi" w:cstheme="minorHAnsi"/>
                <w:sz w:val="20"/>
              </w:rPr>
            </w:pPr>
            <w:r w:rsidRPr="002313F3">
              <w:rPr>
                <w:rFonts w:asciiTheme="minorHAnsi" w:hAnsiTheme="minorHAnsi" w:cstheme="minorHAnsi"/>
                <w:sz w:val="20"/>
              </w:rPr>
              <w:t> </w:t>
            </w:r>
          </w:p>
        </w:tc>
        <w:tc>
          <w:tcPr>
            <w:tcW w:w="2236" w:type="dxa"/>
            <w:vMerge w:val="restart"/>
            <w:hideMark/>
          </w:tcPr>
          <w:p w14:paraId="0FBB036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 </w:t>
            </w:r>
          </w:p>
        </w:tc>
        <w:tc>
          <w:tcPr>
            <w:tcW w:w="907" w:type="dxa"/>
            <w:hideMark/>
          </w:tcPr>
          <w:p w14:paraId="147E2717" w14:textId="322DF18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Annexe A</w:t>
            </w:r>
            <w:r>
              <w:rPr>
                <w:rFonts w:asciiTheme="minorHAnsi" w:hAnsiTheme="minorHAnsi" w:cstheme="minorHAnsi"/>
                <w:b/>
                <w:bCs/>
                <w:sz w:val="20"/>
              </w:rPr>
              <w:t xml:space="preserve"> </w:t>
            </w:r>
            <w:r w:rsidRPr="002313F3">
              <w:rPr>
                <w:rFonts w:asciiTheme="minorHAnsi" w:hAnsiTheme="minorHAnsi" w:cstheme="minorHAnsi"/>
                <w:b/>
                <w:bCs/>
                <w:sz w:val="20"/>
              </w:rPr>
              <w:t>(normative)</w:t>
            </w:r>
          </w:p>
        </w:tc>
        <w:tc>
          <w:tcPr>
            <w:tcW w:w="3828" w:type="dxa"/>
            <w:hideMark/>
          </w:tcPr>
          <w:p w14:paraId="46AE585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Classification des catégories de la chaîne alimentaire</w:t>
            </w:r>
          </w:p>
        </w:tc>
        <w:tc>
          <w:tcPr>
            <w:tcW w:w="2608" w:type="dxa"/>
          </w:tcPr>
          <w:p w14:paraId="58D21BC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297F401F" w14:textId="27789AA9"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11CBA22E"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414B7E2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65D5DE1C" w14:textId="08327762" w:rsidTr="00CE48F1">
        <w:trPr>
          <w:trHeight w:val="555"/>
        </w:trPr>
        <w:tc>
          <w:tcPr>
            <w:cnfStyle w:val="001000000000" w:firstRow="0" w:lastRow="0" w:firstColumn="1" w:lastColumn="0" w:oddVBand="0" w:evenVBand="0" w:oddHBand="0" w:evenHBand="0" w:firstRowFirstColumn="0" w:firstRowLastColumn="0" w:lastRowFirstColumn="0" w:lastRowLastColumn="0"/>
            <w:tcW w:w="907" w:type="dxa"/>
            <w:vMerge/>
            <w:hideMark/>
          </w:tcPr>
          <w:p w14:paraId="0B1E207F" w14:textId="77777777" w:rsidR="00E27FE0" w:rsidRPr="002313F3" w:rsidRDefault="00E27FE0" w:rsidP="00CE48F1">
            <w:pPr>
              <w:rPr>
                <w:rFonts w:asciiTheme="minorHAnsi" w:hAnsiTheme="minorHAnsi" w:cstheme="minorHAnsi"/>
                <w:sz w:val="20"/>
              </w:rPr>
            </w:pPr>
          </w:p>
        </w:tc>
        <w:tc>
          <w:tcPr>
            <w:tcW w:w="2236" w:type="dxa"/>
            <w:vMerge/>
            <w:hideMark/>
          </w:tcPr>
          <w:p w14:paraId="1DD158D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vMerge w:val="restart"/>
            <w:hideMark/>
          </w:tcPr>
          <w:p w14:paraId="034A0C7F" w14:textId="45BD9203"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Annexe B (normative)</w:t>
            </w:r>
          </w:p>
        </w:tc>
        <w:tc>
          <w:tcPr>
            <w:tcW w:w="3828" w:type="dxa"/>
            <w:hideMark/>
          </w:tcPr>
          <w:p w14:paraId="4ACE163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B.1 Exigences relatives aux résultats de l’audit,</w:t>
            </w:r>
          </w:p>
        </w:tc>
        <w:tc>
          <w:tcPr>
            <w:tcW w:w="2608" w:type="dxa"/>
          </w:tcPr>
          <w:p w14:paraId="5CFB5803"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5F36162A" w14:textId="0F80D86C"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38FD3B3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131A9158"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3DB14A40" w14:textId="7D468CEB" w:rsidTr="00CE48F1">
        <w:trPr>
          <w:trHeight w:val="300"/>
        </w:trPr>
        <w:tc>
          <w:tcPr>
            <w:cnfStyle w:val="001000000000" w:firstRow="0" w:lastRow="0" w:firstColumn="1" w:lastColumn="0" w:oddVBand="0" w:evenVBand="0" w:oddHBand="0" w:evenHBand="0" w:firstRowFirstColumn="0" w:firstRowLastColumn="0" w:lastRowFirstColumn="0" w:lastRowLastColumn="0"/>
            <w:tcW w:w="907" w:type="dxa"/>
            <w:vMerge/>
            <w:hideMark/>
          </w:tcPr>
          <w:p w14:paraId="58B6C14C" w14:textId="77777777" w:rsidR="00E27FE0" w:rsidRPr="002313F3" w:rsidRDefault="00E27FE0" w:rsidP="00CE48F1">
            <w:pPr>
              <w:rPr>
                <w:rFonts w:asciiTheme="minorHAnsi" w:hAnsiTheme="minorHAnsi" w:cstheme="minorHAnsi"/>
                <w:sz w:val="20"/>
              </w:rPr>
            </w:pPr>
          </w:p>
        </w:tc>
        <w:tc>
          <w:tcPr>
            <w:tcW w:w="2236" w:type="dxa"/>
            <w:vMerge/>
            <w:hideMark/>
          </w:tcPr>
          <w:p w14:paraId="76225460"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vMerge/>
            <w:hideMark/>
          </w:tcPr>
          <w:p w14:paraId="1E0BE9ED"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3828" w:type="dxa"/>
            <w:hideMark/>
          </w:tcPr>
          <w:p w14:paraId="4A19F719" w14:textId="0C78DF70"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B.2 Détermination de la durée de l’audit</w:t>
            </w:r>
          </w:p>
        </w:tc>
        <w:tc>
          <w:tcPr>
            <w:tcW w:w="2608" w:type="dxa"/>
          </w:tcPr>
          <w:p w14:paraId="230A3FB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6129574B" w14:textId="316C4E72"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0A06B09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16991D2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0EE7604F" w14:textId="0B00AF99" w:rsidTr="00CE48F1">
        <w:trPr>
          <w:trHeight w:val="405"/>
        </w:trPr>
        <w:tc>
          <w:tcPr>
            <w:cnfStyle w:val="001000000000" w:firstRow="0" w:lastRow="0" w:firstColumn="1" w:lastColumn="0" w:oddVBand="0" w:evenVBand="0" w:oddHBand="0" w:evenHBand="0" w:firstRowFirstColumn="0" w:firstRowLastColumn="0" w:lastRowFirstColumn="0" w:lastRowLastColumn="0"/>
            <w:tcW w:w="907" w:type="dxa"/>
            <w:vMerge/>
            <w:hideMark/>
          </w:tcPr>
          <w:p w14:paraId="557A5855" w14:textId="77777777" w:rsidR="00E27FE0" w:rsidRPr="002313F3" w:rsidRDefault="00E27FE0" w:rsidP="00CE48F1">
            <w:pPr>
              <w:rPr>
                <w:rFonts w:asciiTheme="minorHAnsi" w:hAnsiTheme="minorHAnsi" w:cstheme="minorHAnsi"/>
                <w:sz w:val="20"/>
              </w:rPr>
            </w:pPr>
          </w:p>
        </w:tc>
        <w:tc>
          <w:tcPr>
            <w:tcW w:w="2236" w:type="dxa"/>
            <w:vMerge/>
            <w:hideMark/>
          </w:tcPr>
          <w:p w14:paraId="519BA1F9"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vMerge/>
            <w:hideMark/>
          </w:tcPr>
          <w:p w14:paraId="5AA1B947"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3828" w:type="dxa"/>
            <w:hideMark/>
          </w:tcPr>
          <w:p w14:paraId="094DC13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B.3 Calcul de la durée minimale de l’audit</w:t>
            </w:r>
          </w:p>
        </w:tc>
        <w:tc>
          <w:tcPr>
            <w:tcW w:w="2608" w:type="dxa"/>
          </w:tcPr>
          <w:p w14:paraId="7E2A4DF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06FB494F" w14:textId="5B3AE9DB"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713810BF"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345D442B"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r w:rsidR="00CE48F1" w:rsidRPr="002313F3" w14:paraId="2372E1A3" w14:textId="790CF950" w:rsidTr="00CE48F1">
        <w:trPr>
          <w:trHeight w:val="900"/>
        </w:trPr>
        <w:tc>
          <w:tcPr>
            <w:cnfStyle w:val="001000000000" w:firstRow="0" w:lastRow="0" w:firstColumn="1" w:lastColumn="0" w:oddVBand="0" w:evenVBand="0" w:oddHBand="0" w:evenHBand="0" w:firstRowFirstColumn="0" w:firstRowLastColumn="0" w:lastRowFirstColumn="0" w:lastRowLastColumn="0"/>
            <w:tcW w:w="907" w:type="dxa"/>
            <w:vMerge/>
            <w:hideMark/>
          </w:tcPr>
          <w:p w14:paraId="5D665FFC" w14:textId="77777777" w:rsidR="00E27FE0" w:rsidRPr="002313F3" w:rsidRDefault="00E27FE0" w:rsidP="00CE48F1">
            <w:pPr>
              <w:rPr>
                <w:rFonts w:asciiTheme="minorHAnsi" w:hAnsiTheme="minorHAnsi" w:cstheme="minorHAnsi"/>
                <w:sz w:val="20"/>
              </w:rPr>
            </w:pPr>
          </w:p>
        </w:tc>
        <w:tc>
          <w:tcPr>
            <w:tcW w:w="2236" w:type="dxa"/>
            <w:vMerge/>
            <w:hideMark/>
          </w:tcPr>
          <w:p w14:paraId="3B7D239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p>
        </w:tc>
        <w:tc>
          <w:tcPr>
            <w:tcW w:w="907" w:type="dxa"/>
            <w:hideMark/>
          </w:tcPr>
          <w:p w14:paraId="4ACBE213" w14:textId="7EE52FE0"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Annexe C</w:t>
            </w:r>
            <w:r>
              <w:rPr>
                <w:rFonts w:asciiTheme="minorHAnsi" w:hAnsiTheme="minorHAnsi" w:cstheme="minorHAnsi"/>
                <w:b/>
                <w:bCs/>
                <w:sz w:val="20"/>
              </w:rPr>
              <w:t xml:space="preserve"> </w:t>
            </w:r>
            <w:r w:rsidRPr="002313F3">
              <w:rPr>
                <w:rFonts w:asciiTheme="minorHAnsi" w:hAnsiTheme="minorHAnsi" w:cstheme="minorHAnsi"/>
                <w:b/>
                <w:bCs/>
                <w:sz w:val="20"/>
              </w:rPr>
              <w:t>(normative)</w:t>
            </w:r>
          </w:p>
        </w:tc>
        <w:tc>
          <w:tcPr>
            <w:tcW w:w="3828" w:type="dxa"/>
            <w:hideMark/>
          </w:tcPr>
          <w:p w14:paraId="0AACDAE8" w14:textId="48BA7039"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rPr>
            </w:pPr>
            <w:r w:rsidRPr="002313F3">
              <w:rPr>
                <w:rFonts w:asciiTheme="minorHAnsi" w:hAnsiTheme="minorHAnsi" w:cstheme="minorHAnsi"/>
                <w:b/>
                <w:bCs/>
                <w:sz w:val="20"/>
              </w:rPr>
              <w:t>Connaissances et savoir-faire requis en matière de systèmes de management de la sécurité des denrées alimentaires pour</w:t>
            </w:r>
            <w:r>
              <w:rPr>
                <w:rFonts w:asciiTheme="minorHAnsi" w:hAnsiTheme="minorHAnsi" w:cstheme="minorHAnsi"/>
                <w:b/>
                <w:bCs/>
                <w:sz w:val="20"/>
              </w:rPr>
              <w:t xml:space="preserve"> </w:t>
            </w:r>
            <w:r w:rsidRPr="002313F3">
              <w:rPr>
                <w:rFonts w:asciiTheme="minorHAnsi" w:hAnsiTheme="minorHAnsi" w:cstheme="minorHAnsi"/>
                <w:b/>
                <w:bCs/>
                <w:sz w:val="20"/>
              </w:rPr>
              <w:t>déterminer la compétence.</w:t>
            </w:r>
          </w:p>
        </w:tc>
        <w:tc>
          <w:tcPr>
            <w:tcW w:w="2608" w:type="dxa"/>
          </w:tcPr>
          <w:p w14:paraId="53B5BE9C"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c>
          <w:tcPr>
            <w:tcW w:w="2154" w:type="dxa"/>
            <w:noWrap/>
            <w:hideMark/>
          </w:tcPr>
          <w:p w14:paraId="2456AE41" w14:textId="37FF2EDE"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1105" w:type="dxa"/>
            <w:noWrap/>
            <w:hideMark/>
          </w:tcPr>
          <w:p w14:paraId="2C67C164"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r w:rsidRPr="002313F3">
              <w:rPr>
                <w:rFonts w:asciiTheme="minorHAnsi" w:hAnsiTheme="minorHAnsi" w:cstheme="minorHAnsi"/>
                <w:sz w:val="20"/>
              </w:rPr>
              <w:t> </w:t>
            </w:r>
          </w:p>
        </w:tc>
        <w:tc>
          <w:tcPr>
            <w:tcW w:w="2070" w:type="dxa"/>
          </w:tcPr>
          <w:p w14:paraId="01C56E26" w14:textId="77777777" w:rsidR="00E27FE0" w:rsidRPr="002313F3" w:rsidRDefault="00E27FE0" w:rsidP="00CE48F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rPr>
            </w:pPr>
          </w:p>
        </w:tc>
      </w:tr>
    </w:tbl>
    <w:p w14:paraId="224A0BDB" w14:textId="0FCE6743" w:rsidR="002313F3" w:rsidRPr="002313F3" w:rsidRDefault="00CE48F1" w:rsidP="00F34E21">
      <w:pPr>
        <w:rPr>
          <w:rFonts w:asciiTheme="minorHAnsi" w:hAnsiTheme="minorHAnsi" w:cstheme="minorHAnsi"/>
          <w:sz w:val="20"/>
        </w:rPr>
      </w:pPr>
      <w:r>
        <w:rPr>
          <w:rFonts w:asciiTheme="minorHAnsi" w:hAnsiTheme="minorHAnsi" w:cstheme="minorHAnsi"/>
          <w:sz w:val="20"/>
        </w:rPr>
        <w:br w:type="textWrapping" w:clear="all"/>
      </w:r>
    </w:p>
    <w:sectPr w:rsidR="002313F3" w:rsidRPr="002313F3" w:rsidSect="00F341A8">
      <w:pgSz w:w="16840" w:h="11907" w:orient="landscape" w:code="9"/>
      <w:pgMar w:top="1440" w:right="1440" w:bottom="1440" w:left="1440" w:header="709" w:footer="4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2DB5B" w14:textId="77777777" w:rsidR="00673A73" w:rsidRPr="002313F3" w:rsidRDefault="00673A73" w:rsidP="00942DBC">
      <w:r w:rsidRPr="002313F3">
        <w:separator/>
      </w:r>
    </w:p>
  </w:endnote>
  <w:endnote w:type="continuationSeparator" w:id="0">
    <w:p w14:paraId="34C71674" w14:textId="77777777" w:rsidR="00673A73" w:rsidRPr="002313F3" w:rsidRDefault="00673A73" w:rsidP="00942DBC">
      <w:r w:rsidRPr="002313F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6B156" w14:textId="77777777" w:rsidR="00AB29CB" w:rsidRPr="002313F3" w:rsidRDefault="00AB29CB">
    <w:pPr>
      <w:pStyle w:val="Pieddepage"/>
      <w:jc w:val="center"/>
      <w:rPr>
        <w:b/>
        <w:sz w:val="20"/>
      </w:rPr>
    </w:pPr>
    <w:r w:rsidRPr="002313F3">
      <w:rPr>
        <w:b/>
        <w:sz w:val="20"/>
      </w:rPr>
      <w:t xml:space="preserve">BELAC 6-102 </w:t>
    </w:r>
    <w:proofErr w:type="spellStart"/>
    <w:r w:rsidRPr="002313F3">
      <w:rPr>
        <w:b/>
        <w:sz w:val="20"/>
      </w:rPr>
      <w:t>Rev</w:t>
    </w:r>
    <w:proofErr w:type="spellEnd"/>
    <w:r w:rsidRPr="002313F3">
      <w:rPr>
        <w:b/>
        <w:sz w:val="20"/>
      </w:rPr>
      <w:t xml:space="preserve"> 2 draft 20.09.2013 </w:t>
    </w:r>
    <w:r w:rsidRPr="002313F3">
      <w:rPr>
        <w:rStyle w:val="Numrodepage"/>
        <w:b/>
        <w:sz w:val="20"/>
      </w:rPr>
      <w:fldChar w:fldCharType="begin"/>
    </w:r>
    <w:r w:rsidRPr="002313F3">
      <w:rPr>
        <w:rStyle w:val="Numrodepage"/>
        <w:b/>
        <w:sz w:val="20"/>
      </w:rPr>
      <w:instrText xml:space="preserve"> PAGE </w:instrText>
    </w:r>
    <w:r w:rsidRPr="002313F3">
      <w:rPr>
        <w:rStyle w:val="Numrodepage"/>
        <w:b/>
        <w:sz w:val="20"/>
      </w:rPr>
      <w:fldChar w:fldCharType="separate"/>
    </w:r>
    <w:r w:rsidRPr="002313F3">
      <w:rPr>
        <w:rStyle w:val="Numrodepage"/>
        <w:b/>
        <w:sz w:val="20"/>
      </w:rPr>
      <w:t>1</w:t>
    </w:r>
    <w:r w:rsidRPr="002313F3">
      <w:rPr>
        <w:rStyle w:val="Numrodepage"/>
        <w:b/>
        <w:sz w:val="20"/>
      </w:rPr>
      <w:fldChar w:fldCharType="end"/>
    </w:r>
    <w:r w:rsidRPr="002313F3">
      <w:rPr>
        <w:rStyle w:val="Numrodepage"/>
        <w:b/>
        <w:sz w:val="20"/>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68108D" w14:textId="77777777" w:rsidR="00673A73" w:rsidRPr="002313F3" w:rsidRDefault="00673A73" w:rsidP="00942DBC">
      <w:r w:rsidRPr="002313F3">
        <w:separator/>
      </w:r>
    </w:p>
  </w:footnote>
  <w:footnote w:type="continuationSeparator" w:id="0">
    <w:p w14:paraId="5A1A59EB" w14:textId="77777777" w:rsidR="00673A73" w:rsidRPr="002313F3" w:rsidRDefault="00673A73" w:rsidP="00942DBC">
      <w:r w:rsidRPr="002313F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22" w:type="pct"/>
      <w:tblInd w:w="-353" w:type="dxa"/>
      <w:tblBorders>
        <w:bottom w:val="single" w:sz="4" w:space="0" w:color="auto"/>
      </w:tblBorders>
      <w:tblLook w:val="01E0" w:firstRow="1" w:lastRow="1" w:firstColumn="1" w:lastColumn="1" w:noHBand="0" w:noVBand="0"/>
    </w:tblPr>
    <w:tblGrid>
      <w:gridCol w:w="1999"/>
      <w:gridCol w:w="12022"/>
    </w:tblGrid>
    <w:tr w:rsidR="00AB29CB" w:rsidRPr="002313F3" w14:paraId="45EAF4AD" w14:textId="77777777" w:rsidTr="00E84655">
      <w:trPr>
        <w:cantSplit/>
        <w:trHeight w:val="723"/>
      </w:trPr>
      <w:tc>
        <w:tcPr>
          <w:tcW w:w="713" w:type="pct"/>
          <w:tcBorders>
            <w:left w:val="nil"/>
            <w:bottom w:val="nil"/>
            <w:right w:val="nil"/>
          </w:tcBorders>
        </w:tcPr>
        <w:p w14:paraId="7F39E1DD" w14:textId="77777777" w:rsidR="00AB29CB" w:rsidRPr="002313F3" w:rsidRDefault="00AB29CB" w:rsidP="001257B7">
          <w:pPr>
            <w:pStyle w:val="Titre5"/>
            <w:rPr>
              <w:lang w:eastAsia="fr-FR"/>
            </w:rPr>
          </w:pPr>
          <w:r w:rsidRPr="002313F3">
            <w:rPr>
              <w:noProof/>
              <w:lang w:eastAsia="fr-FR"/>
            </w:rPr>
            <mc:AlternateContent>
              <mc:Choice Requires="wps">
                <w:drawing>
                  <wp:anchor distT="0" distB="0" distL="114300" distR="114300" simplePos="0" relativeHeight="251665920" behindDoc="0" locked="0" layoutInCell="1" allowOverlap="1" wp14:anchorId="321396A8" wp14:editId="34877237">
                    <wp:simplePos x="0" y="0"/>
                    <wp:positionH relativeFrom="column">
                      <wp:posOffset>-635</wp:posOffset>
                    </wp:positionH>
                    <wp:positionV relativeFrom="paragraph">
                      <wp:posOffset>1905</wp:posOffset>
                    </wp:positionV>
                    <wp:extent cx="901065" cy="57785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3570E3" w14:textId="77777777" w:rsidR="00AB29CB" w:rsidRPr="002313F3" w:rsidRDefault="00AB29CB" w:rsidP="001257B7">
                                <w:pPr>
                                  <w:ind w:left="57"/>
                                </w:pPr>
                                <w:r w:rsidRPr="002313F3">
                                  <w:rPr>
                                    <w:noProof/>
                                    <w:lang w:eastAsia="fr-FR"/>
                                  </w:rPr>
                                  <w:drawing>
                                    <wp:inline distT="0" distB="0" distL="0" distR="0" wp14:anchorId="0A5C06E1" wp14:editId="0780A7E7">
                                      <wp:extent cx="723265" cy="389890"/>
                                      <wp:effectExtent l="0" t="0" r="0" b="0"/>
                                      <wp:docPr id="1369446106" name="Image 136944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38989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1396A8" id="_x0000_t202" coordsize="21600,21600" o:spt="202" path="m,l,21600r21600,l21600,xe">
                    <v:stroke joinstyle="miter"/>
                    <v:path gradientshapeok="t" o:connecttype="rect"/>
                  </v:shapetype>
                  <v:shape id="Text Box 1" o:spid="_x0000_s1026" type="#_x0000_t202" style="position:absolute;margin-left:-.05pt;margin-top:.15pt;width:70.95pt;height:45.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" stroked="f">
                    <v:textbox>
                      <w:txbxContent>
                        <w:p w14:paraId="4B3570E3" w14:textId="77777777" w:rsidR="00AB29CB" w:rsidRPr="002313F3" w:rsidRDefault="00AB29CB" w:rsidP="001257B7">
                          <w:pPr>
                            <w:ind w:left="57"/>
                          </w:pPr>
                          <w:r w:rsidRPr="002313F3">
                            <w:rPr>
                              <w:noProof/>
                              <w:lang w:eastAsia="fr-FR"/>
                            </w:rPr>
                            <w:drawing>
                              <wp:inline distT="0" distB="0" distL="0" distR="0" wp14:anchorId="0A5C06E1" wp14:editId="0780A7E7">
                                <wp:extent cx="723265" cy="389890"/>
                                <wp:effectExtent l="0" t="0" r="0" b="0"/>
                                <wp:docPr id="1369446106" name="Image 136944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389890"/>
                                        </a:xfrm>
                                        <a:prstGeom prst="rect">
                                          <a:avLst/>
                                        </a:prstGeom>
                                        <a:noFill/>
                                        <a:ln>
                                          <a:noFill/>
                                        </a:ln>
                                      </pic:spPr>
                                    </pic:pic>
                                  </a:graphicData>
                                </a:graphic>
                              </wp:inline>
                            </w:drawing>
                          </w:r>
                        </w:p>
                      </w:txbxContent>
                    </v:textbox>
                  </v:shape>
                </w:pict>
              </mc:Fallback>
            </mc:AlternateContent>
          </w:r>
        </w:p>
      </w:tc>
      <w:tc>
        <w:tcPr>
          <w:tcW w:w="4287" w:type="pct"/>
          <w:tcBorders>
            <w:left w:val="nil"/>
            <w:bottom w:val="nil"/>
            <w:right w:val="nil"/>
          </w:tcBorders>
          <w:shd w:val="clear" w:color="auto" w:fill="D9D9D9" w:themeFill="background1" w:themeFillShade="D9"/>
        </w:tcPr>
        <w:p w14:paraId="6A9ADCE9" w14:textId="046BD9FB" w:rsidR="00AB29CB" w:rsidRPr="00E84655" w:rsidRDefault="00AB29CB" w:rsidP="00E84655">
          <w:pPr>
            <w:pStyle w:val="ListParagraph1"/>
            <w:spacing w:before="120" w:after="120"/>
            <w:ind w:left="0"/>
            <w:rPr>
              <w:rFonts w:ascii="Trebuchet MS" w:hAnsi="Trebuchet MS" w:cs="TimesNewRoman"/>
              <w:b/>
              <w:bCs/>
              <w:color w:val="000000"/>
              <w:sz w:val="24"/>
              <w:szCs w:val="24"/>
              <w:lang w:eastAsia="fr-FR"/>
            </w:rPr>
          </w:pPr>
          <w:r w:rsidRPr="00E84655">
            <w:rPr>
              <w:rFonts w:ascii="Trebuchet MS" w:hAnsi="Trebuchet MS" w:cs="TimesNewRoman"/>
              <w:b/>
              <w:bCs/>
              <w:color w:val="000000"/>
              <w:sz w:val="24"/>
              <w:szCs w:val="24"/>
              <w:lang w:eastAsia="fr-FR"/>
            </w:rPr>
            <w:t xml:space="preserve">Plan de </w:t>
          </w:r>
          <w:r w:rsidR="002313F3" w:rsidRPr="00E84655">
            <w:rPr>
              <w:rFonts w:ascii="Trebuchet MS" w:hAnsi="Trebuchet MS" w:cs="TimesNewRoman"/>
              <w:b/>
              <w:bCs/>
              <w:color w:val="000000"/>
              <w:sz w:val="24"/>
              <w:szCs w:val="24"/>
              <w:lang w:eastAsia="fr-FR"/>
            </w:rPr>
            <w:t>transition vers</w:t>
          </w:r>
          <w:r w:rsidRPr="00E84655">
            <w:rPr>
              <w:rFonts w:ascii="Trebuchet MS" w:hAnsi="Trebuchet MS" w:cs="TimesNewRoman"/>
              <w:b/>
              <w:bCs/>
              <w:color w:val="000000"/>
              <w:sz w:val="24"/>
              <w:szCs w:val="24"/>
              <w:lang w:eastAsia="fr-FR"/>
            </w:rPr>
            <w:t xml:space="preserve"> </w:t>
          </w:r>
          <w:r w:rsidR="002313F3" w:rsidRPr="00E84655">
            <w:rPr>
              <w:rFonts w:ascii="Trebuchet MS" w:hAnsi="Trebuchet MS" w:cs="TimesNewRoman"/>
              <w:b/>
              <w:bCs/>
              <w:color w:val="000000"/>
              <w:sz w:val="24"/>
              <w:szCs w:val="24"/>
              <w:lang w:eastAsia="fr-FR"/>
            </w:rPr>
            <w:t>la norme ISO 22003-1 :2022</w:t>
          </w:r>
          <w:r w:rsidRPr="00E84655">
            <w:rPr>
              <w:rFonts w:ascii="Trebuchet MS" w:hAnsi="Trebuchet MS" w:cs="TimesNewRoman"/>
              <w:b/>
              <w:bCs/>
              <w:color w:val="000000"/>
              <w:sz w:val="24"/>
              <w:szCs w:val="24"/>
              <w:lang w:eastAsia="fr-FR"/>
            </w:rPr>
            <w:t xml:space="preserve"> </w:t>
          </w:r>
        </w:p>
        <w:p w14:paraId="3FF8C6AF" w14:textId="6E41528E" w:rsidR="00AB29CB" w:rsidRPr="002313F3" w:rsidRDefault="00CE48F1" w:rsidP="00E84655">
          <w:pPr>
            <w:tabs>
              <w:tab w:val="left" w:pos="6081"/>
            </w:tabs>
            <w:spacing w:before="120" w:after="120"/>
            <w:rPr>
              <w:rFonts w:ascii="Trebuchet MS" w:hAnsi="Trebuchet MS"/>
              <w:sz w:val="22"/>
              <w:szCs w:val="22"/>
            </w:rPr>
          </w:pPr>
          <w:r w:rsidRPr="00E84655">
            <w:rPr>
              <w:rFonts w:ascii="Trebuchet MS" w:hAnsi="Trebuchet MS"/>
              <w:szCs w:val="24"/>
            </w:rPr>
            <w:t>DOC 06-3 Rév 00</w:t>
          </w:r>
          <w:r w:rsidR="00C17509" w:rsidRPr="00E84655">
            <w:rPr>
              <w:rFonts w:ascii="Trebuchet MS" w:hAnsi="Trebuchet MS"/>
              <w:szCs w:val="24"/>
            </w:rPr>
            <w:t xml:space="preserve"> du </w:t>
          </w:r>
          <w:r w:rsidRPr="00E84655">
            <w:rPr>
              <w:rFonts w:ascii="Trebuchet MS" w:hAnsi="Trebuchet MS"/>
              <w:szCs w:val="24"/>
            </w:rPr>
            <w:t>0</w:t>
          </w:r>
          <w:r w:rsidR="00842178">
            <w:rPr>
              <w:rFonts w:ascii="Trebuchet MS" w:hAnsi="Trebuchet MS"/>
              <w:szCs w:val="24"/>
            </w:rPr>
            <w:t>7</w:t>
          </w:r>
          <w:r w:rsidRPr="00E84655">
            <w:rPr>
              <w:rFonts w:ascii="Trebuchet MS" w:hAnsi="Trebuchet MS"/>
              <w:szCs w:val="24"/>
            </w:rPr>
            <w:t xml:space="preserve">/08/2024               </w:t>
          </w:r>
          <w:r w:rsidR="00C17509" w:rsidRPr="00E84655">
            <w:rPr>
              <w:rFonts w:ascii="Trebuchet MS" w:hAnsi="Trebuchet MS"/>
              <w:szCs w:val="24"/>
            </w:rPr>
            <w:t xml:space="preserve">          </w:t>
          </w:r>
          <w:r w:rsidR="00AB29CB" w:rsidRPr="00E84655">
            <w:rPr>
              <w:rFonts w:ascii="Trebuchet MS" w:hAnsi="Trebuchet MS"/>
              <w:szCs w:val="24"/>
            </w:rPr>
            <w:t xml:space="preserve">      </w:t>
          </w:r>
          <w:r w:rsidR="000B4630" w:rsidRPr="00E84655">
            <w:rPr>
              <w:rFonts w:ascii="Trebuchet MS" w:hAnsi="Trebuchet MS"/>
              <w:szCs w:val="24"/>
            </w:rPr>
            <w:t xml:space="preserve">                                                  </w:t>
          </w:r>
          <w:r w:rsidR="00AB29CB" w:rsidRPr="00E84655">
            <w:rPr>
              <w:rFonts w:ascii="Trebuchet MS" w:hAnsi="Trebuchet MS"/>
              <w:szCs w:val="24"/>
            </w:rPr>
            <w:t xml:space="preserve">  </w:t>
          </w:r>
          <w:r w:rsidR="00FA6CCF" w:rsidRPr="00E84655">
            <w:rPr>
              <w:rFonts w:ascii="Trebuchet MS" w:hAnsi="Trebuchet MS"/>
              <w:szCs w:val="24"/>
            </w:rPr>
            <w:t xml:space="preserve">Page : </w:t>
          </w:r>
          <w:r w:rsidR="00FA6CCF" w:rsidRPr="00E84655">
            <w:rPr>
              <w:rFonts w:ascii="Trebuchet MS" w:hAnsi="Trebuchet MS"/>
              <w:b/>
              <w:bCs/>
              <w:szCs w:val="24"/>
            </w:rPr>
            <w:fldChar w:fldCharType="begin"/>
          </w:r>
          <w:r w:rsidR="00FA6CCF" w:rsidRPr="00E84655">
            <w:rPr>
              <w:rFonts w:ascii="Trebuchet MS" w:hAnsi="Trebuchet MS"/>
              <w:b/>
              <w:bCs/>
              <w:szCs w:val="24"/>
            </w:rPr>
            <w:instrText>PAGE  \* Arabic  \* MERGEFORMAT</w:instrText>
          </w:r>
          <w:r w:rsidR="00FA6CCF" w:rsidRPr="00E84655">
            <w:rPr>
              <w:rFonts w:ascii="Trebuchet MS" w:hAnsi="Trebuchet MS"/>
              <w:b/>
              <w:bCs/>
              <w:szCs w:val="24"/>
            </w:rPr>
            <w:fldChar w:fldCharType="separate"/>
          </w:r>
          <w:r w:rsidR="00FA6CCF" w:rsidRPr="00E84655">
            <w:rPr>
              <w:rFonts w:ascii="Trebuchet MS" w:hAnsi="Trebuchet MS"/>
              <w:b/>
              <w:bCs/>
              <w:szCs w:val="24"/>
            </w:rPr>
            <w:t>1</w:t>
          </w:r>
          <w:r w:rsidR="00FA6CCF" w:rsidRPr="00E84655">
            <w:rPr>
              <w:rFonts w:ascii="Trebuchet MS" w:hAnsi="Trebuchet MS"/>
              <w:b/>
              <w:bCs/>
              <w:szCs w:val="24"/>
            </w:rPr>
            <w:fldChar w:fldCharType="end"/>
          </w:r>
          <w:r w:rsidR="00FA6CCF" w:rsidRPr="00E84655">
            <w:rPr>
              <w:rFonts w:ascii="Trebuchet MS" w:hAnsi="Trebuchet MS"/>
              <w:szCs w:val="24"/>
            </w:rPr>
            <w:t>/</w:t>
          </w:r>
          <w:r w:rsidR="00FA6CCF" w:rsidRPr="00E84655">
            <w:rPr>
              <w:rFonts w:ascii="Trebuchet MS" w:hAnsi="Trebuchet MS"/>
              <w:b/>
              <w:bCs/>
              <w:szCs w:val="24"/>
            </w:rPr>
            <w:fldChar w:fldCharType="begin"/>
          </w:r>
          <w:r w:rsidR="00FA6CCF" w:rsidRPr="00E84655">
            <w:rPr>
              <w:rFonts w:ascii="Trebuchet MS" w:hAnsi="Trebuchet MS"/>
              <w:b/>
              <w:bCs/>
              <w:szCs w:val="24"/>
            </w:rPr>
            <w:instrText>NUMPAGES  \* Arabic  \* MERGEFORMAT</w:instrText>
          </w:r>
          <w:r w:rsidR="00FA6CCF" w:rsidRPr="00E84655">
            <w:rPr>
              <w:rFonts w:ascii="Trebuchet MS" w:hAnsi="Trebuchet MS"/>
              <w:b/>
              <w:bCs/>
              <w:szCs w:val="24"/>
            </w:rPr>
            <w:fldChar w:fldCharType="separate"/>
          </w:r>
          <w:r w:rsidR="00FA6CCF" w:rsidRPr="00E84655">
            <w:rPr>
              <w:rFonts w:ascii="Trebuchet MS" w:hAnsi="Trebuchet MS"/>
              <w:b/>
              <w:bCs/>
              <w:szCs w:val="24"/>
            </w:rPr>
            <w:t>2</w:t>
          </w:r>
          <w:r w:rsidR="00FA6CCF" w:rsidRPr="00E84655">
            <w:rPr>
              <w:rFonts w:ascii="Trebuchet MS" w:hAnsi="Trebuchet MS"/>
              <w:b/>
              <w:bCs/>
              <w:szCs w:val="24"/>
            </w:rPr>
            <w:fldChar w:fldCharType="end"/>
          </w:r>
        </w:p>
      </w:tc>
    </w:tr>
  </w:tbl>
  <w:p w14:paraId="61B9672A" w14:textId="77777777" w:rsidR="00AB29CB" w:rsidRPr="002313F3" w:rsidRDefault="00AB29C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numFmt w:val="bullet"/>
      <w:lvlText w:val="-"/>
      <w:lvlJc w:val="left"/>
      <w:pPr>
        <w:ind w:left="720" w:hanging="360"/>
      </w:pPr>
      <w:rPr>
        <w:rFonts w:ascii="Times New Roman" w:hAnsi="Times New Roman" w:hint="default"/>
      </w:rPr>
    </w:lvl>
  </w:abstractNum>
  <w:abstractNum w:abstractNumId="1" w15:restartNumberingAfterBreak="0">
    <w:nsid w:val="2FDB2A76"/>
    <w:multiLevelType w:val="hybridMultilevel"/>
    <w:tmpl w:val="63F06298"/>
    <w:lvl w:ilvl="0" w:tplc="406019FE">
      <w:start w:val="6"/>
      <w:numFmt w:val="bullet"/>
      <w:lvlText w:val=""/>
      <w:lvlJc w:val="left"/>
      <w:pPr>
        <w:ind w:left="720" w:hanging="360"/>
      </w:pPr>
      <w:rPr>
        <w:rFonts w:ascii="Trebuchet MS" w:eastAsia="Times New Roman" w:hAnsi="Trebuchet M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EAB3B5B"/>
    <w:multiLevelType w:val="hybridMultilevel"/>
    <w:tmpl w:val="AB3E199E"/>
    <w:lvl w:ilvl="0" w:tplc="00000000">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90058264">
    <w:abstractNumId w:val="0"/>
  </w:num>
  <w:num w:numId="2" w16cid:durableId="875577879">
    <w:abstractNumId w:val="2"/>
  </w:num>
  <w:num w:numId="3" w16cid:durableId="1984308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DBC"/>
    <w:rsid w:val="0000729D"/>
    <w:rsid w:val="000148C3"/>
    <w:rsid w:val="00026314"/>
    <w:rsid w:val="00041C47"/>
    <w:rsid w:val="00042CF5"/>
    <w:rsid w:val="0005258A"/>
    <w:rsid w:val="00061495"/>
    <w:rsid w:val="00065466"/>
    <w:rsid w:val="0006582D"/>
    <w:rsid w:val="00071743"/>
    <w:rsid w:val="000A27BA"/>
    <w:rsid w:val="000A46E5"/>
    <w:rsid w:val="000A6C2E"/>
    <w:rsid w:val="000B4630"/>
    <w:rsid w:val="000C65E8"/>
    <w:rsid w:val="000D35C7"/>
    <w:rsid w:val="000E2938"/>
    <w:rsid w:val="000E2F88"/>
    <w:rsid w:val="000F0CA6"/>
    <w:rsid w:val="00102735"/>
    <w:rsid w:val="00111E91"/>
    <w:rsid w:val="001144A7"/>
    <w:rsid w:val="001161BE"/>
    <w:rsid w:val="001176BB"/>
    <w:rsid w:val="0012167B"/>
    <w:rsid w:val="00125076"/>
    <w:rsid w:val="001257B7"/>
    <w:rsid w:val="001305BD"/>
    <w:rsid w:val="00130D2D"/>
    <w:rsid w:val="001443F4"/>
    <w:rsid w:val="00156181"/>
    <w:rsid w:val="00156523"/>
    <w:rsid w:val="00160488"/>
    <w:rsid w:val="0017363D"/>
    <w:rsid w:val="00177A53"/>
    <w:rsid w:val="00184B08"/>
    <w:rsid w:val="00193974"/>
    <w:rsid w:val="001A5D38"/>
    <w:rsid w:val="001A72C6"/>
    <w:rsid w:val="001A76BE"/>
    <w:rsid w:val="001B0649"/>
    <w:rsid w:val="001C263D"/>
    <w:rsid w:val="001C2AA0"/>
    <w:rsid w:val="001D1042"/>
    <w:rsid w:val="001E319F"/>
    <w:rsid w:val="001E3E35"/>
    <w:rsid w:val="001F72B5"/>
    <w:rsid w:val="002037B9"/>
    <w:rsid w:val="00212D82"/>
    <w:rsid w:val="00230DED"/>
    <w:rsid w:val="002313F3"/>
    <w:rsid w:val="002612E5"/>
    <w:rsid w:val="0026312E"/>
    <w:rsid w:val="00281AE1"/>
    <w:rsid w:val="00291102"/>
    <w:rsid w:val="002956E6"/>
    <w:rsid w:val="002965C8"/>
    <w:rsid w:val="002A6B11"/>
    <w:rsid w:val="002B1AF6"/>
    <w:rsid w:val="002B1CC5"/>
    <w:rsid w:val="002B5AD2"/>
    <w:rsid w:val="002C0323"/>
    <w:rsid w:val="002C77E7"/>
    <w:rsid w:val="002D4138"/>
    <w:rsid w:val="002E183E"/>
    <w:rsid w:val="0030681A"/>
    <w:rsid w:val="00313621"/>
    <w:rsid w:val="003245DF"/>
    <w:rsid w:val="003321C6"/>
    <w:rsid w:val="00335F75"/>
    <w:rsid w:val="00341C60"/>
    <w:rsid w:val="0034531C"/>
    <w:rsid w:val="003518CD"/>
    <w:rsid w:val="00352EFB"/>
    <w:rsid w:val="00365F05"/>
    <w:rsid w:val="00366A3A"/>
    <w:rsid w:val="00366CD5"/>
    <w:rsid w:val="00372BDB"/>
    <w:rsid w:val="00374B1E"/>
    <w:rsid w:val="00386609"/>
    <w:rsid w:val="003A0F1B"/>
    <w:rsid w:val="003A289D"/>
    <w:rsid w:val="003B3B5F"/>
    <w:rsid w:val="003B59F5"/>
    <w:rsid w:val="003C26BD"/>
    <w:rsid w:val="003E6FEA"/>
    <w:rsid w:val="00402EAA"/>
    <w:rsid w:val="00406787"/>
    <w:rsid w:val="00410D36"/>
    <w:rsid w:val="004167DF"/>
    <w:rsid w:val="00420BD9"/>
    <w:rsid w:val="00425AD7"/>
    <w:rsid w:val="004332D6"/>
    <w:rsid w:val="00440725"/>
    <w:rsid w:val="00440830"/>
    <w:rsid w:val="00455B4E"/>
    <w:rsid w:val="0045691A"/>
    <w:rsid w:val="004617F5"/>
    <w:rsid w:val="0048003F"/>
    <w:rsid w:val="004A423A"/>
    <w:rsid w:val="004A7A67"/>
    <w:rsid w:val="004C5925"/>
    <w:rsid w:val="004D2B0F"/>
    <w:rsid w:val="004D5312"/>
    <w:rsid w:val="004D5FB0"/>
    <w:rsid w:val="004E690F"/>
    <w:rsid w:val="004F1EB9"/>
    <w:rsid w:val="004F66B6"/>
    <w:rsid w:val="005016FB"/>
    <w:rsid w:val="005079C7"/>
    <w:rsid w:val="00513F94"/>
    <w:rsid w:val="00517D3E"/>
    <w:rsid w:val="00522C32"/>
    <w:rsid w:val="005276B1"/>
    <w:rsid w:val="00540FB7"/>
    <w:rsid w:val="00563F80"/>
    <w:rsid w:val="00581F81"/>
    <w:rsid w:val="00582554"/>
    <w:rsid w:val="005B0413"/>
    <w:rsid w:val="005B4E28"/>
    <w:rsid w:val="005B5870"/>
    <w:rsid w:val="005B732F"/>
    <w:rsid w:val="005C4517"/>
    <w:rsid w:val="005D5503"/>
    <w:rsid w:val="005D69A0"/>
    <w:rsid w:val="005E44AA"/>
    <w:rsid w:val="005E5A9F"/>
    <w:rsid w:val="005F2224"/>
    <w:rsid w:val="006106DC"/>
    <w:rsid w:val="00614109"/>
    <w:rsid w:val="006157E8"/>
    <w:rsid w:val="00630E83"/>
    <w:rsid w:val="00636EBE"/>
    <w:rsid w:val="00641641"/>
    <w:rsid w:val="00643B4D"/>
    <w:rsid w:val="006466FD"/>
    <w:rsid w:val="00650971"/>
    <w:rsid w:val="00656111"/>
    <w:rsid w:val="0067065D"/>
    <w:rsid w:val="00673A73"/>
    <w:rsid w:val="0068488E"/>
    <w:rsid w:val="00690A97"/>
    <w:rsid w:val="006A205E"/>
    <w:rsid w:val="006B55A1"/>
    <w:rsid w:val="006C2F5A"/>
    <w:rsid w:val="006F4C60"/>
    <w:rsid w:val="007119EF"/>
    <w:rsid w:val="007148EF"/>
    <w:rsid w:val="00745E89"/>
    <w:rsid w:val="007632EB"/>
    <w:rsid w:val="007772C3"/>
    <w:rsid w:val="00783429"/>
    <w:rsid w:val="007874E3"/>
    <w:rsid w:val="0079056D"/>
    <w:rsid w:val="00792B62"/>
    <w:rsid w:val="007979E6"/>
    <w:rsid w:val="007D4C7D"/>
    <w:rsid w:val="007D5573"/>
    <w:rsid w:val="007D76D0"/>
    <w:rsid w:val="007D7EAC"/>
    <w:rsid w:val="007E32D2"/>
    <w:rsid w:val="007E580E"/>
    <w:rsid w:val="007E74B7"/>
    <w:rsid w:val="007F626E"/>
    <w:rsid w:val="008042E3"/>
    <w:rsid w:val="00823AA0"/>
    <w:rsid w:val="00833821"/>
    <w:rsid w:val="00842178"/>
    <w:rsid w:val="00847493"/>
    <w:rsid w:val="008573AC"/>
    <w:rsid w:val="0086353C"/>
    <w:rsid w:val="0086468C"/>
    <w:rsid w:val="00872964"/>
    <w:rsid w:val="008729FF"/>
    <w:rsid w:val="008907AB"/>
    <w:rsid w:val="00890B85"/>
    <w:rsid w:val="0089461A"/>
    <w:rsid w:val="008960A2"/>
    <w:rsid w:val="00897BD4"/>
    <w:rsid w:val="008A3465"/>
    <w:rsid w:val="008A6DED"/>
    <w:rsid w:val="008B447D"/>
    <w:rsid w:val="008C6058"/>
    <w:rsid w:val="008C69C0"/>
    <w:rsid w:val="008D45C3"/>
    <w:rsid w:val="008D50B8"/>
    <w:rsid w:val="008D7179"/>
    <w:rsid w:val="008F2F5C"/>
    <w:rsid w:val="008F5759"/>
    <w:rsid w:val="0091155F"/>
    <w:rsid w:val="00912B49"/>
    <w:rsid w:val="0091720E"/>
    <w:rsid w:val="00923A54"/>
    <w:rsid w:val="00926437"/>
    <w:rsid w:val="0093586A"/>
    <w:rsid w:val="00935FD2"/>
    <w:rsid w:val="00937286"/>
    <w:rsid w:val="00940999"/>
    <w:rsid w:val="00941F7B"/>
    <w:rsid w:val="00942DBC"/>
    <w:rsid w:val="0095588A"/>
    <w:rsid w:val="00962551"/>
    <w:rsid w:val="00967FE7"/>
    <w:rsid w:val="00971BD7"/>
    <w:rsid w:val="0097637B"/>
    <w:rsid w:val="00984698"/>
    <w:rsid w:val="00985AE1"/>
    <w:rsid w:val="0099029F"/>
    <w:rsid w:val="009B1D76"/>
    <w:rsid w:val="009B74A0"/>
    <w:rsid w:val="009C5F32"/>
    <w:rsid w:val="009C7557"/>
    <w:rsid w:val="009D1249"/>
    <w:rsid w:val="009D3C4A"/>
    <w:rsid w:val="009E3DFB"/>
    <w:rsid w:val="009F13B6"/>
    <w:rsid w:val="009F68D3"/>
    <w:rsid w:val="00A12F6C"/>
    <w:rsid w:val="00A17492"/>
    <w:rsid w:val="00A3143F"/>
    <w:rsid w:val="00A32BC5"/>
    <w:rsid w:val="00A352D0"/>
    <w:rsid w:val="00A37277"/>
    <w:rsid w:val="00A4113C"/>
    <w:rsid w:val="00A539AE"/>
    <w:rsid w:val="00A6775A"/>
    <w:rsid w:val="00A80F55"/>
    <w:rsid w:val="00A84277"/>
    <w:rsid w:val="00A847EF"/>
    <w:rsid w:val="00A916EC"/>
    <w:rsid w:val="00A93031"/>
    <w:rsid w:val="00AA4403"/>
    <w:rsid w:val="00AB0826"/>
    <w:rsid w:val="00AB214D"/>
    <w:rsid w:val="00AB29CB"/>
    <w:rsid w:val="00AB3490"/>
    <w:rsid w:val="00AB3D09"/>
    <w:rsid w:val="00AB45C6"/>
    <w:rsid w:val="00AC101B"/>
    <w:rsid w:val="00AC1DCD"/>
    <w:rsid w:val="00AC3756"/>
    <w:rsid w:val="00AF3AFC"/>
    <w:rsid w:val="00B0017F"/>
    <w:rsid w:val="00B05C57"/>
    <w:rsid w:val="00B11D35"/>
    <w:rsid w:val="00B162ED"/>
    <w:rsid w:val="00B16C92"/>
    <w:rsid w:val="00B66716"/>
    <w:rsid w:val="00B77E4E"/>
    <w:rsid w:val="00B818C9"/>
    <w:rsid w:val="00B94AAD"/>
    <w:rsid w:val="00B96CEC"/>
    <w:rsid w:val="00BA0D70"/>
    <w:rsid w:val="00BA3C55"/>
    <w:rsid w:val="00BA505F"/>
    <w:rsid w:val="00BA50F0"/>
    <w:rsid w:val="00BA7E59"/>
    <w:rsid w:val="00BB0BD4"/>
    <w:rsid w:val="00BC1065"/>
    <w:rsid w:val="00BD27FD"/>
    <w:rsid w:val="00BD305A"/>
    <w:rsid w:val="00BD5903"/>
    <w:rsid w:val="00BE072E"/>
    <w:rsid w:val="00BF0FC9"/>
    <w:rsid w:val="00C01506"/>
    <w:rsid w:val="00C02FA0"/>
    <w:rsid w:val="00C11CC1"/>
    <w:rsid w:val="00C121F0"/>
    <w:rsid w:val="00C14E2B"/>
    <w:rsid w:val="00C17509"/>
    <w:rsid w:val="00C23C52"/>
    <w:rsid w:val="00C521BD"/>
    <w:rsid w:val="00C536E2"/>
    <w:rsid w:val="00C6101D"/>
    <w:rsid w:val="00C62F30"/>
    <w:rsid w:val="00C64FC5"/>
    <w:rsid w:val="00C7127E"/>
    <w:rsid w:val="00C718A1"/>
    <w:rsid w:val="00C71B23"/>
    <w:rsid w:val="00C82CCA"/>
    <w:rsid w:val="00C855DB"/>
    <w:rsid w:val="00C86EF7"/>
    <w:rsid w:val="00C90183"/>
    <w:rsid w:val="00C91571"/>
    <w:rsid w:val="00C92D38"/>
    <w:rsid w:val="00C97BEC"/>
    <w:rsid w:val="00CA3B90"/>
    <w:rsid w:val="00CB110F"/>
    <w:rsid w:val="00CB3CB1"/>
    <w:rsid w:val="00CB75DB"/>
    <w:rsid w:val="00CB772E"/>
    <w:rsid w:val="00CC51D8"/>
    <w:rsid w:val="00CD5BE5"/>
    <w:rsid w:val="00CD784B"/>
    <w:rsid w:val="00CE48F1"/>
    <w:rsid w:val="00D167DA"/>
    <w:rsid w:val="00D1789D"/>
    <w:rsid w:val="00D217C0"/>
    <w:rsid w:val="00D33AC8"/>
    <w:rsid w:val="00D36F37"/>
    <w:rsid w:val="00D4319A"/>
    <w:rsid w:val="00D5491D"/>
    <w:rsid w:val="00D65B2F"/>
    <w:rsid w:val="00D75397"/>
    <w:rsid w:val="00D91CA9"/>
    <w:rsid w:val="00DA672E"/>
    <w:rsid w:val="00DB3021"/>
    <w:rsid w:val="00DB468C"/>
    <w:rsid w:val="00DB46FA"/>
    <w:rsid w:val="00DE0520"/>
    <w:rsid w:val="00DE18E0"/>
    <w:rsid w:val="00DE4731"/>
    <w:rsid w:val="00DE7F5F"/>
    <w:rsid w:val="00E1057E"/>
    <w:rsid w:val="00E11923"/>
    <w:rsid w:val="00E1226C"/>
    <w:rsid w:val="00E20E41"/>
    <w:rsid w:val="00E21ACA"/>
    <w:rsid w:val="00E23279"/>
    <w:rsid w:val="00E27FE0"/>
    <w:rsid w:val="00E27FE8"/>
    <w:rsid w:val="00E460BC"/>
    <w:rsid w:val="00E52CB6"/>
    <w:rsid w:val="00E575C4"/>
    <w:rsid w:val="00E63E9E"/>
    <w:rsid w:val="00E77946"/>
    <w:rsid w:val="00E827EF"/>
    <w:rsid w:val="00E84655"/>
    <w:rsid w:val="00EA1682"/>
    <w:rsid w:val="00EC6735"/>
    <w:rsid w:val="00ED2636"/>
    <w:rsid w:val="00EE0DDE"/>
    <w:rsid w:val="00EF68E7"/>
    <w:rsid w:val="00F07041"/>
    <w:rsid w:val="00F254EF"/>
    <w:rsid w:val="00F329ED"/>
    <w:rsid w:val="00F341A8"/>
    <w:rsid w:val="00F34E21"/>
    <w:rsid w:val="00F368DB"/>
    <w:rsid w:val="00F621A9"/>
    <w:rsid w:val="00F62891"/>
    <w:rsid w:val="00F64A20"/>
    <w:rsid w:val="00F71349"/>
    <w:rsid w:val="00F877B5"/>
    <w:rsid w:val="00FA6CCF"/>
    <w:rsid w:val="00FB316A"/>
    <w:rsid w:val="00FB4679"/>
    <w:rsid w:val="00FB7504"/>
    <w:rsid w:val="00FC0506"/>
    <w:rsid w:val="00FC1483"/>
    <w:rsid w:val="00FD3AEC"/>
    <w:rsid w:val="00FE2A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C86A0"/>
  <w15:docId w15:val="{33444318-787B-453D-B61E-35E7EA833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DBC"/>
    <w:pPr>
      <w:spacing w:after="0" w:line="240" w:lineRule="auto"/>
    </w:pPr>
    <w:rPr>
      <w:rFonts w:ascii="Times New Roman" w:eastAsia="Times New Roman" w:hAnsi="Times New Roman" w:cs="Times New Roman"/>
      <w:sz w:val="24"/>
      <w:szCs w:val="20"/>
      <w:lang w:val="fr-FR"/>
    </w:rPr>
  </w:style>
  <w:style w:type="paragraph" w:styleId="Titre4">
    <w:name w:val="heading 4"/>
    <w:basedOn w:val="Normal"/>
    <w:next w:val="Normal"/>
    <w:link w:val="Titre4Car"/>
    <w:qFormat/>
    <w:rsid w:val="00942DBC"/>
    <w:pPr>
      <w:keepNext/>
      <w:spacing w:before="240" w:after="60"/>
      <w:outlineLvl w:val="3"/>
    </w:pPr>
    <w:rPr>
      <w:rFonts w:ascii="Arial" w:hAnsi="Arial"/>
      <w:b/>
    </w:rPr>
  </w:style>
  <w:style w:type="paragraph" w:styleId="Titre5">
    <w:name w:val="heading 5"/>
    <w:basedOn w:val="Normal"/>
    <w:next w:val="Normal"/>
    <w:link w:val="Titre5Car"/>
    <w:uiPriority w:val="9"/>
    <w:semiHidden/>
    <w:unhideWhenUsed/>
    <w:qFormat/>
    <w:rsid w:val="001257B7"/>
    <w:pPr>
      <w:keepNext/>
      <w:keepLines/>
      <w:spacing w:before="20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Date">
    <w:name w:val="Date"/>
    <w:basedOn w:val="Normal"/>
    <w:next w:val="Normal"/>
    <w:link w:val="DateCar"/>
    <w:semiHidden/>
    <w:rsid w:val="00942DBC"/>
  </w:style>
  <w:style w:type="character" w:customStyle="1" w:styleId="DateCar">
    <w:name w:val="Date Car"/>
    <w:basedOn w:val="Policepardfaut"/>
    <w:link w:val="Date"/>
    <w:semiHidden/>
    <w:rsid w:val="00942DBC"/>
    <w:rPr>
      <w:rFonts w:ascii="Times New Roman" w:eastAsia="Times New Roman" w:hAnsi="Times New Roman" w:cs="Times New Roman"/>
      <w:sz w:val="24"/>
      <w:szCs w:val="20"/>
      <w:lang w:val="nl-NL"/>
    </w:rPr>
  </w:style>
  <w:style w:type="paragraph" w:styleId="Pieddepage">
    <w:name w:val="footer"/>
    <w:basedOn w:val="Normal"/>
    <w:link w:val="PieddepageCar"/>
    <w:uiPriority w:val="99"/>
    <w:rsid w:val="00942DBC"/>
    <w:pPr>
      <w:tabs>
        <w:tab w:val="center" w:pos="4536"/>
        <w:tab w:val="right" w:pos="9072"/>
      </w:tabs>
    </w:pPr>
  </w:style>
  <w:style w:type="character" w:customStyle="1" w:styleId="PieddepageCar">
    <w:name w:val="Pied de page Car"/>
    <w:basedOn w:val="Policepardfaut"/>
    <w:link w:val="Pieddepage"/>
    <w:uiPriority w:val="99"/>
    <w:rsid w:val="00942DBC"/>
    <w:rPr>
      <w:rFonts w:ascii="Times New Roman" w:eastAsia="Times New Roman" w:hAnsi="Times New Roman" w:cs="Times New Roman"/>
      <w:sz w:val="24"/>
      <w:szCs w:val="20"/>
      <w:lang w:val="nl-NL"/>
    </w:rPr>
  </w:style>
  <w:style w:type="character" w:styleId="Numrodepage">
    <w:name w:val="page number"/>
    <w:basedOn w:val="Policepardfaut"/>
    <w:semiHidden/>
    <w:rsid w:val="00942DBC"/>
  </w:style>
  <w:style w:type="paragraph" w:styleId="Index1">
    <w:name w:val="index 1"/>
    <w:basedOn w:val="Normal"/>
    <w:next w:val="Normal"/>
    <w:autoRedefine/>
    <w:uiPriority w:val="99"/>
    <w:semiHidden/>
    <w:unhideWhenUsed/>
    <w:rsid w:val="00942DBC"/>
    <w:pPr>
      <w:ind w:left="240" w:hanging="240"/>
    </w:pPr>
  </w:style>
  <w:style w:type="paragraph" w:styleId="Titreindex">
    <w:name w:val="index heading"/>
    <w:basedOn w:val="Normal"/>
    <w:next w:val="Index1"/>
    <w:semiHidden/>
    <w:rsid w:val="00942DBC"/>
    <w:rPr>
      <w:rFonts w:ascii="Arial" w:hAnsi="Arial"/>
      <w:b/>
    </w:rPr>
  </w:style>
  <w:style w:type="paragraph" w:styleId="En-tte">
    <w:name w:val="header"/>
    <w:basedOn w:val="Normal"/>
    <w:link w:val="En-tteCar"/>
    <w:uiPriority w:val="99"/>
    <w:unhideWhenUsed/>
    <w:rsid w:val="00942DBC"/>
    <w:pPr>
      <w:tabs>
        <w:tab w:val="center" w:pos="4680"/>
        <w:tab w:val="right" w:pos="9360"/>
      </w:tabs>
    </w:pPr>
  </w:style>
  <w:style w:type="character" w:customStyle="1" w:styleId="En-tteCar">
    <w:name w:val="En-tête Car"/>
    <w:basedOn w:val="Policepardfaut"/>
    <w:link w:val="En-tte"/>
    <w:uiPriority w:val="99"/>
    <w:rsid w:val="00942DBC"/>
    <w:rPr>
      <w:rFonts w:ascii="Times New Roman" w:eastAsia="Times New Roman" w:hAnsi="Times New Roman" w:cs="Times New Roman"/>
      <w:sz w:val="24"/>
      <w:szCs w:val="20"/>
      <w:lang w:val="nl-NL"/>
    </w:rPr>
  </w:style>
  <w:style w:type="character" w:customStyle="1" w:styleId="Titre4Car">
    <w:name w:val="Titre 4 Car"/>
    <w:basedOn w:val="Policepardfaut"/>
    <w:link w:val="Titre4"/>
    <w:rsid w:val="00942DBC"/>
    <w:rPr>
      <w:rFonts w:ascii="Arial" w:eastAsia="Times New Roman" w:hAnsi="Arial" w:cs="Times New Roman"/>
      <w:b/>
      <w:sz w:val="24"/>
      <w:szCs w:val="20"/>
      <w:lang w:val="nl-NL"/>
    </w:rPr>
  </w:style>
  <w:style w:type="paragraph" w:customStyle="1" w:styleId="ListParagraph1">
    <w:name w:val="List Paragraph1"/>
    <w:basedOn w:val="Normal"/>
    <w:rsid w:val="007979E6"/>
    <w:pPr>
      <w:widowControl w:val="0"/>
      <w:ind w:left="720"/>
      <w:contextualSpacing/>
    </w:pPr>
    <w:rPr>
      <w:rFonts w:ascii="Arial" w:hAnsi="Arial"/>
      <w:sz w:val="20"/>
    </w:rPr>
  </w:style>
  <w:style w:type="paragraph" w:styleId="Commentaire">
    <w:name w:val="annotation text"/>
    <w:basedOn w:val="Normal"/>
    <w:link w:val="CommentaireCar"/>
    <w:semiHidden/>
    <w:rsid w:val="00926437"/>
    <w:rPr>
      <w:sz w:val="20"/>
    </w:rPr>
  </w:style>
  <w:style w:type="character" w:customStyle="1" w:styleId="CommentaireCar">
    <w:name w:val="Commentaire Car"/>
    <w:basedOn w:val="Policepardfaut"/>
    <w:link w:val="Commentaire"/>
    <w:semiHidden/>
    <w:rsid w:val="00926437"/>
    <w:rPr>
      <w:rFonts w:ascii="Times New Roman" w:eastAsia="Times New Roman" w:hAnsi="Times New Roman" w:cs="Times New Roman"/>
      <w:sz w:val="20"/>
      <w:szCs w:val="20"/>
      <w:lang w:val="nl-NL"/>
    </w:rPr>
  </w:style>
  <w:style w:type="character" w:styleId="Marquedecommentaire">
    <w:name w:val="annotation reference"/>
    <w:rsid w:val="00926437"/>
    <w:rPr>
      <w:sz w:val="16"/>
      <w:szCs w:val="16"/>
    </w:rPr>
  </w:style>
  <w:style w:type="paragraph" w:styleId="Textedebulles">
    <w:name w:val="Balloon Text"/>
    <w:basedOn w:val="Normal"/>
    <w:link w:val="TextedebullesCar"/>
    <w:uiPriority w:val="99"/>
    <w:semiHidden/>
    <w:unhideWhenUsed/>
    <w:rsid w:val="00926437"/>
    <w:rPr>
      <w:rFonts w:ascii="Tahoma" w:hAnsi="Tahoma" w:cs="Tahoma"/>
      <w:sz w:val="16"/>
      <w:szCs w:val="16"/>
    </w:rPr>
  </w:style>
  <w:style w:type="character" w:customStyle="1" w:styleId="TextedebullesCar">
    <w:name w:val="Texte de bulles Car"/>
    <w:basedOn w:val="Policepardfaut"/>
    <w:link w:val="Textedebulles"/>
    <w:uiPriority w:val="99"/>
    <w:semiHidden/>
    <w:rsid w:val="00926437"/>
    <w:rPr>
      <w:rFonts w:ascii="Tahoma" w:eastAsia="Times New Roman" w:hAnsi="Tahoma" w:cs="Tahoma"/>
      <w:sz w:val="16"/>
      <w:szCs w:val="16"/>
      <w:lang w:val="nl-NL"/>
    </w:rPr>
  </w:style>
  <w:style w:type="table" w:styleId="Grilledutableau">
    <w:name w:val="Table Grid"/>
    <w:basedOn w:val="TableauNormal"/>
    <w:uiPriority w:val="59"/>
    <w:rsid w:val="00857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5D69A0"/>
    <w:pPr>
      <w:ind w:left="720"/>
      <w:contextualSpacing/>
    </w:pPr>
  </w:style>
  <w:style w:type="character" w:customStyle="1" w:styleId="Titre5Car">
    <w:name w:val="Titre 5 Car"/>
    <w:basedOn w:val="Policepardfaut"/>
    <w:link w:val="Titre5"/>
    <w:uiPriority w:val="9"/>
    <w:semiHidden/>
    <w:rsid w:val="001257B7"/>
    <w:rPr>
      <w:rFonts w:asciiTheme="majorHAnsi" w:eastAsiaTheme="majorEastAsia" w:hAnsiTheme="majorHAnsi" w:cstheme="majorBidi"/>
      <w:color w:val="243F60" w:themeColor="accent1" w:themeShade="7F"/>
      <w:sz w:val="24"/>
      <w:szCs w:val="20"/>
      <w:lang w:val="nl-NL"/>
    </w:rPr>
  </w:style>
  <w:style w:type="paragraph" w:styleId="Objetducommentaire">
    <w:name w:val="annotation subject"/>
    <w:basedOn w:val="Commentaire"/>
    <w:next w:val="Commentaire"/>
    <w:link w:val="ObjetducommentaireCar"/>
    <w:uiPriority w:val="99"/>
    <w:semiHidden/>
    <w:unhideWhenUsed/>
    <w:rsid w:val="00967FE7"/>
    <w:rPr>
      <w:b/>
      <w:bCs/>
    </w:rPr>
  </w:style>
  <w:style w:type="character" w:customStyle="1" w:styleId="ObjetducommentaireCar">
    <w:name w:val="Objet du commentaire Car"/>
    <w:basedOn w:val="CommentaireCar"/>
    <w:link w:val="Objetducommentaire"/>
    <w:uiPriority w:val="99"/>
    <w:semiHidden/>
    <w:rsid w:val="00967FE7"/>
    <w:rPr>
      <w:rFonts w:ascii="Times New Roman" w:eastAsia="Times New Roman" w:hAnsi="Times New Roman" w:cs="Times New Roman"/>
      <w:b/>
      <w:bCs/>
      <w:sz w:val="20"/>
      <w:szCs w:val="20"/>
      <w:lang w:val="nl-NL"/>
    </w:rPr>
  </w:style>
  <w:style w:type="table" w:styleId="TableauGrille1Clair">
    <w:name w:val="Grid Table 1 Light"/>
    <w:basedOn w:val="TableauNormal"/>
    <w:uiPriority w:val="46"/>
    <w:rsid w:val="00F341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631156">
      <w:bodyDiv w:val="1"/>
      <w:marLeft w:val="0"/>
      <w:marRight w:val="0"/>
      <w:marTop w:val="0"/>
      <w:marBottom w:val="0"/>
      <w:divBdr>
        <w:top w:val="none" w:sz="0" w:space="0" w:color="auto"/>
        <w:left w:val="none" w:sz="0" w:space="0" w:color="auto"/>
        <w:bottom w:val="none" w:sz="0" w:space="0" w:color="auto"/>
        <w:right w:val="none" w:sz="0" w:space="0" w:color="auto"/>
      </w:divBdr>
    </w:div>
    <w:div w:id="452209504">
      <w:bodyDiv w:val="1"/>
      <w:marLeft w:val="0"/>
      <w:marRight w:val="0"/>
      <w:marTop w:val="0"/>
      <w:marBottom w:val="0"/>
      <w:divBdr>
        <w:top w:val="none" w:sz="0" w:space="0" w:color="auto"/>
        <w:left w:val="none" w:sz="0" w:space="0" w:color="auto"/>
        <w:bottom w:val="none" w:sz="0" w:space="0" w:color="auto"/>
        <w:right w:val="none" w:sz="0" w:space="0" w:color="auto"/>
      </w:divBdr>
    </w:div>
    <w:div w:id="637682145">
      <w:bodyDiv w:val="1"/>
      <w:marLeft w:val="0"/>
      <w:marRight w:val="0"/>
      <w:marTop w:val="0"/>
      <w:marBottom w:val="0"/>
      <w:divBdr>
        <w:top w:val="none" w:sz="0" w:space="0" w:color="auto"/>
        <w:left w:val="none" w:sz="0" w:space="0" w:color="auto"/>
        <w:bottom w:val="none" w:sz="0" w:space="0" w:color="auto"/>
        <w:right w:val="none" w:sz="0" w:space="0" w:color="auto"/>
      </w:divBdr>
    </w:div>
    <w:div w:id="716122430">
      <w:bodyDiv w:val="1"/>
      <w:marLeft w:val="0"/>
      <w:marRight w:val="0"/>
      <w:marTop w:val="0"/>
      <w:marBottom w:val="0"/>
      <w:divBdr>
        <w:top w:val="none" w:sz="0" w:space="0" w:color="auto"/>
        <w:left w:val="none" w:sz="0" w:space="0" w:color="auto"/>
        <w:bottom w:val="none" w:sz="0" w:space="0" w:color="auto"/>
        <w:right w:val="none" w:sz="0" w:space="0" w:color="auto"/>
      </w:divBdr>
    </w:div>
    <w:div w:id="1115175553">
      <w:bodyDiv w:val="1"/>
      <w:marLeft w:val="0"/>
      <w:marRight w:val="0"/>
      <w:marTop w:val="0"/>
      <w:marBottom w:val="0"/>
      <w:divBdr>
        <w:top w:val="none" w:sz="0" w:space="0" w:color="auto"/>
        <w:left w:val="none" w:sz="0" w:space="0" w:color="auto"/>
        <w:bottom w:val="none" w:sz="0" w:space="0" w:color="auto"/>
        <w:right w:val="none" w:sz="0" w:space="0" w:color="auto"/>
      </w:divBdr>
    </w:div>
    <w:div w:id="1320966312">
      <w:bodyDiv w:val="1"/>
      <w:marLeft w:val="0"/>
      <w:marRight w:val="0"/>
      <w:marTop w:val="0"/>
      <w:marBottom w:val="0"/>
      <w:divBdr>
        <w:top w:val="none" w:sz="0" w:space="0" w:color="auto"/>
        <w:left w:val="none" w:sz="0" w:space="0" w:color="auto"/>
        <w:bottom w:val="none" w:sz="0" w:space="0" w:color="auto"/>
        <w:right w:val="none" w:sz="0" w:space="0" w:color="auto"/>
      </w:divBdr>
    </w:div>
    <w:div w:id="136760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73002-915A-4134-9B61-B482FC7B1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3759</Words>
  <Characters>20676</Characters>
  <Application>Microsoft Office Word</Application>
  <DocSecurity>0</DocSecurity>
  <Lines>172</Lines>
  <Paragraphs>48</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SPF/FOD Economie</Company>
  <LinksUpToDate>false</LinksUpToDate>
  <CharactersWithSpaces>24387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Boulesnane</dc:creator>
  <cp:lastModifiedBy>PC_05</cp:lastModifiedBy>
  <cp:revision>13</cp:revision>
  <cp:lastPrinted>2024-04-30T16:01:00Z</cp:lastPrinted>
  <dcterms:created xsi:type="dcterms:W3CDTF">2024-07-17T13:40:00Z</dcterms:created>
  <dcterms:modified xsi:type="dcterms:W3CDTF">2024-08-07T08:07:00Z</dcterms:modified>
</cp:coreProperties>
</file>